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eastAsia="zh-CN"/>
        </w:rPr>
        <w:t xml:space="preserve">省工商局关于实施工商登记“双告知一承诺”制度的意见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鄂工商注〔2016〕42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_GBK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各市、州、县工商局：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根据《国务院关于“先照后证”改革后加强事中事后监管 的意见》（国发〔2015〕62号</w:t>
      </w:r>
      <w:bookmarkStart w:id="5" w:name="_GoBack"/>
      <w:bookmarkEnd w:id="5"/>
      <w:r>
        <w:rPr>
          <w:rFonts w:hint="default" w:ascii="仿宋_GB2312" w:hAnsi="仿宋_GB2312" w:eastAsia="仿宋_GB2312" w:cs="仿宋_GB2312"/>
          <w:sz w:val="32"/>
          <w:lang w:val="en-US" w:eastAsia="zh-CN"/>
        </w:rPr>
        <w:t>）、《省人民政府关于“先照后证” 改革后加强事中事后监管的实施意见》（鄂政发〔2016〕2号） 和国家工商总局《关于落实〈国务院关于“先照后证”改革后加 强事中事后监管的意见〉做好“双告知”工作的通知》（工商企 注字〔2015〕211号、要求，现就全省实施工商登记“双告知一承诺”制度提出如下意见：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一、充分认识实施工商登记“双告知一承诺”制度的意义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工商登记“双告知一承诺”制度，是工商部门在办理登记 注册时，根据省级人民政府审定发布的工商登记后置审批事项 目录，告知申请人需要办理审批的经营项目和相应的审批部门， 并由申请人书面承诺在取得审批前不擅自从事相关经营活动； 在办理登记注册后，通过信息共享交换平台，及时将市场主体 登记信息告知相关审批部门和行业主管部门的工作机制。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实施工商登记“双告知一承诺”制度，是国务院、省政府 赋予工商部门的重要职责，是加强事中事后监管的基础性工作, 是强化市场主体诚信守法意识和信用约束的有效手段，是促进 部门信息共享和协同监管的重要举措。全省工商部门要充分认 识实施这项制度的重要性，增强工作责任感，切实履行好“双 告知一承诺”工作职责。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lang w:val="en-US" w:eastAsia="zh-CN"/>
        </w:rPr>
        <w:t>二、准确把握适用范围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工商登记“双告知一承诺”制度适用对象为：各类企业、 个体工商户、农民专业合作社和相关行政审批部门、行业主管 部门；适用情形为：办理涉及工商登记后置审批事项的各类市 场主体设立登记和经营范围变更登记。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lang w:val="en-US" w:eastAsia="zh-CN"/>
        </w:rPr>
        <w:t>三、全面实行向申请人告知制度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从2016年4月1日起，全省工商登记机关全面实行向申请 人书面告知制度。登记受理人员在办理登记注册业务时，应依 据申请人申请登记的经营范围，对照省政府授权省编办、省工 商局发布的《湖北省工商登记后置审批事项目录》，拟制《工商 登记后置审批事项告知书》（见附件1）,提交核准人员审定。经 核准人员审定的《工商登记后置审批事项告知书》在发放营业 执照时一并送达申请人。使用全程电子化登记方式办理登记业 务，涉及需要告知工商登记后置审批事项的，可采取短信告知、 网上告知等多种方式向申请人告知后置审批事项和审批部门。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lang w:val="en-US" w:eastAsia="zh-CN"/>
        </w:rPr>
        <w:t>四、全面实行申请人承诺制度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实行申请人承诺制度，是《国务院关于“先照后证”改革 后加强事中事后监管的意见》（国发〔2015〕62号）规定的申请 人义务。从2016年4月1日起，申请人申办登记注册时，应按 规定向登记机关提交由全体投资人或法定代表人（负责人）签 署的《承诺书》（参考文本见附件2）,书面承诺在领取营业执照 后，及时办理相关后置审批手续，在取得行政审批前不从事相 关经营活动等诚信守法事项。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lang w:val="en-US" w:eastAsia="zh-CN"/>
        </w:rPr>
        <w:t>五、全面实行向相关部门告知制度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全省各级工商部门要按照《国务院关于“先照后证”改革 后加强事中事后监管的意见》（国发〔2015〕62号）明确的“谁 审批、谁监管，谁主管、谁监管”原则，依据《省人民政府关 于“先照后证”改革后加强事中事后监管的实施意见》（鄂政发 [2016] 2号）规定的告知工作要求，在办理登记注册后，及时 向“湖北省市场主体信用信息共享交换系统”（以下简称共享交 换系统）推送市场主体登记信息，由各级相关部门按省政府文 件要求通过“共享交换系统”及时认领涉及本部门行政审批事 项或属于本部门主管职责的市场主体登记信息。“共享交换系 统”由省政府主导，省工商局负责建设，计划8月底前投入全 省应用。在“共享交换系统”全省应用后，全省各级工商部门 登记注册的市场主体登记信息，将由内部综合业务系统自动推 送到“共享交换系统”。在“共享交换系统”全省应用前的过渡 期内，全省各级工商部门要根据当地实际情况，采取书面告知、 电子邮件告知或通过地方电子政务平台告知等多种形式，每两 周向同级相关审批部门抄告市场主体登记信息。委托工商所登 记的市场主体登记信息，由登记机关负责告知。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lang w:val="en-US" w:eastAsia="zh-CN"/>
        </w:rPr>
        <w:t>六、切实做好实施保障工作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全省各级工商部门要通过多种途径和手段进行宣传，引导 市场主体提高识别审批事项的能力，增强诚信守法经营意识和 自觉性。加强登记注册人员、市场监管人员、信息技术保障人 员业务培训，使之熟知规则、熟知流程、服务周到，全面提升 登记注册和监督管理效能。按照“政府主导、工商主抓、部门 联动、协同推进”的工作要求，做好“共享交换系统”的推广 应用工作，推动各行政审批部门、行业主管部门运用“信息共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享交换系统”，及时认领市场主体登记信息，及时推送本部门行 政许可信息、行政处罚信息和其他监管信息，实现部门信息共 享、协同监管。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附件：1.工商登记后置审批事项告知书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1600" w:firstLineChars="5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2.承诺书参考文本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湖北省工商局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2016年3月30日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附件1</w:t>
      </w:r>
      <w:bookmarkStart w:id="0" w:name="bookmark15"/>
      <w:bookmarkStart w:id="1" w:name="bookmark13"/>
      <w:bookmarkStart w:id="2" w:name="bookmark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zh-TW" w:eastAsia="zh-TW" w:bidi="zh-TW"/>
        </w:rPr>
        <w:t>工商登记后置宙批事项告知书</w:t>
      </w:r>
      <w:bookmarkEnd w:id="0"/>
      <w:bookmarkEnd w:id="1"/>
      <w:bookmarkEnd w:id="2"/>
    </w:p>
    <w:p>
      <w:pPr>
        <w:keepNext w:val="0"/>
        <w:keepLines w:val="0"/>
        <w:widowControl w:val="0"/>
        <w:shd w:val="clear" w:color="auto" w:fill="auto"/>
        <w:tabs>
          <w:tab w:val="left" w:pos="4584"/>
        </w:tabs>
        <w:bidi w:val="0"/>
        <w:spacing w:before="0" w:after="0" w:line="598" w:lineRule="exact"/>
        <w:ind w:left="0" w:right="0" w:firstLine="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single"/>
          <w:shd w:val="clear" w:color="auto" w:fill="auto"/>
          <w:lang w:val="zh-TW" w:eastAsia="zh-TW" w:bidi="zh-TW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single"/>
          <w:shd w:val="clear" w:color="auto" w:fill="auto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: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zh-TW" w:eastAsia="zh-TW" w:bidi="zh-TW"/>
        </w:rPr>
        <w:t xml:space="preserve">（企业/农民专业合作社/个体工商户）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本次工商登记涉及后置审批事项，请在领取营业执照后及时 办理相关审批证件。现将后置审批事项和相关审批部门告知如下:</w:t>
      </w:r>
    </w:p>
    <w:p>
      <w:pPr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560" w:line="598" w:lineRule="exact"/>
        <w:ind w:left="0" w:right="0" w:firstLine="66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bookmarkStart w:id="3" w:name="bookmark16"/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一</w:t>
      </w:r>
      <w:bookmarkEnd w:id="3"/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、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后置审批事项：</w:t>
      </w:r>
    </w:p>
    <w:p>
      <w:pPr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560" w:line="598" w:lineRule="exact"/>
        <w:ind w:left="0" w:right="0" w:firstLine="66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bookmarkStart w:id="4" w:name="bookmark17"/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二</w:t>
      </w:r>
      <w:bookmarkEnd w:id="4"/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、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相关审批部门：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1120" w:line="598" w:lineRule="exact"/>
        <w:ind w:left="0" w:right="0" w:firstLine="66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特别提醒：在后置审批事项获得审批前，不得擅自从事相关 经营活动；擅自从事经营活动的，属于违法行为，将要承担法律 责任。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560" w:line="619" w:lineRule="exact"/>
        <w:ind w:left="0" w:right="0" w:firstLine="0"/>
        <w:jc w:val="center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告知单位（盖章）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br w:type="textWrapping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年 月 日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560" w:line="595" w:lineRule="exact"/>
        <w:ind w:left="0" w:right="0" w:firstLine="66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注：本告知书一式两份，一份送达申请人（由领照人签收），一份存 入登记档案。告知单位用印可使用登记机关登记业务专用章。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（参考文本）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本（企业/农民专业合作社/个体工商户）郑重向登记机关作出以下承诺：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一、在领取营业执照后，对涉及需要审批方能经营的项目， 将根据工商部门告知提示，依法及时向相关行政审批部门办理审 批手续，在取得相关行政审批前，不从事该项目的经营活动。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二、在日常经营活动中，坚持诚信经营、守法经营，不从事 制售假冒伪劣、非法集资、不正当竞争、侵害消费者合法权益等 违法活动。涉及登记事项需要变更的，及时向工商部门办理变更 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三、遵守《企业信息公示暂行条例》规定，自觉及时在湖北 省市场主体信用信息公示系统（http://xyjg.egs.gov.cn/）上公示 年度报告信息和即时公示信息，接受公众查询和社会监督，公示 信息保证及时、全面、真实。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注：1.承诺人为：企业（农民合作社）全体投资人或法定代表人（分 支机构负责人）；个体工商户业主。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2.承诺书一式两份，一份在办理设立登记、经营范围变更登记业务时 提交登记机关归档，一份由承诺人留存。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9.1pt;height:0.15pt;width:442.25pt;z-index:251660288;mso-width-relative:page;mso-height-relative:page;" filled="f" stroked="t" coordsize="21600,21600" o:gfxdata="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S8TEnTAAAABgEAAA8A&#10;AAAAAAAAAQAgAAAAOAAAAGRycy9kb3ducmV2LnhtbFBLAQIUABQAAAAIAIdO4kCuozrgzQEAAGcD&#10;AAAOAAAAAAAAAAEAIAAAADgBAABkcnMvZTJvRG9jLnhtbFBLBQYAAAAABgAGAFkBAAB3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湖湖北省市场监督管理局发布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湖北省市场监督管理局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DBiNmU4OTcxNTY5Y2YwMTBhZjg5NTJlYzY3ODgifQ=="/>
  </w:docVars>
  <w:rsids>
    <w:rsidRoot w:val="00172A27"/>
    <w:rsid w:val="019E71BD"/>
    <w:rsid w:val="04B679C3"/>
    <w:rsid w:val="080F63D8"/>
    <w:rsid w:val="09341458"/>
    <w:rsid w:val="0B0912D7"/>
    <w:rsid w:val="152D2DCA"/>
    <w:rsid w:val="15F7C13F"/>
    <w:rsid w:val="1DEC284C"/>
    <w:rsid w:val="1E6523AC"/>
    <w:rsid w:val="22440422"/>
    <w:rsid w:val="251E1D2B"/>
    <w:rsid w:val="31A15F24"/>
    <w:rsid w:val="395347B5"/>
    <w:rsid w:val="39A05FBC"/>
    <w:rsid w:val="39A232A0"/>
    <w:rsid w:val="39E745AA"/>
    <w:rsid w:val="3B5A6BBB"/>
    <w:rsid w:val="3BFF1D75"/>
    <w:rsid w:val="3EDA13A6"/>
    <w:rsid w:val="42F058B7"/>
    <w:rsid w:val="436109F6"/>
    <w:rsid w:val="441A38D4"/>
    <w:rsid w:val="4BC77339"/>
    <w:rsid w:val="4C9236C5"/>
    <w:rsid w:val="4CA723BC"/>
    <w:rsid w:val="505C172E"/>
    <w:rsid w:val="52F46F0B"/>
    <w:rsid w:val="53D8014D"/>
    <w:rsid w:val="55E064E0"/>
    <w:rsid w:val="572C6D10"/>
    <w:rsid w:val="5DC34279"/>
    <w:rsid w:val="5FE7927E"/>
    <w:rsid w:val="608816D1"/>
    <w:rsid w:val="60EF4E7F"/>
    <w:rsid w:val="665233C1"/>
    <w:rsid w:val="6AD9688B"/>
    <w:rsid w:val="6D0E3F22"/>
    <w:rsid w:val="6D75D897"/>
    <w:rsid w:val="6E5FF765"/>
    <w:rsid w:val="6EA63085"/>
    <w:rsid w:val="734A4C12"/>
    <w:rsid w:val="757FD08E"/>
    <w:rsid w:val="775D03AD"/>
    <w:rsid w:val="77FF484E"/>
    <w:rsid w:val="7B4FABD7"/>
    <w:rsid w:val="7C9011D9"/>
    <w:rsid w:val="7DC651C5"/>
    <w:rsid w:val="7DFE03D0"/>
    <w:rsid w:val="7EFC87D3"/>
    <w:rsid w:val="7FCC2834"/>
    <w:rsid w:val="7FFE0BE6"/>
    <w:rsid w:val="BDF9E6EC"/>
    <w:rsid w:val="D8F9C144"/>
    <w:rsid w:val="DBFF3D61"/>
    <w:rsid w:val="DF7FB7CE"/>
    <w:rsid w:val="E3FFC23B"/>
    <w:rsid w:val="ECFDB056"/>
    <w:rsid w:val="FF6D9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1813</Characters>
  <Lines>1</Lines>
  <Paragraphs>1</Paragraphs>
  <TotalTime>102</TotalTime>
  <ScaleCrop>false</ScaleCrop>
  <LinksUpToDate>false</LinksUpToDate>
  <CharactersWithSpaces>1815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2021-09-13T18:41:00Z</dcterms:created>
  <dc:creator>t</dc:creator>
  <cp:lastModifiedBy>ruijie</cp:lastModifiedBy>
  <cp:lastPrinted>2021-10-30T19:30:00Z</cp:lastPrinted>
  <dcterms:modified xsi:type="dcterms:W3CDTF">2022-10-31T14:07:16Z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F5AE88E4468C44B0B61A3E61763AAE1E</vt:lpwstr>
  </property>
</Properties>
</file>