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78" w:rsidRPr="00C11D92" w:rsidRDefault="0025139C" w:rsidP="002E5EB7">
      <w:pPr>
        <w:adjustRightInd w:val="0"/>
        <w:snapToGrid w:val="0"/>
        <w:jc w:val="center"/>
        <w:rPr>
          <w:rFonts w:ascii="方正小标宋简体" w:eastAsia="方正小标宋简体" w:hAnsi="方正小标宋_GBK" w:cs="方正小标宋_GBK"/>
          <w:bCs/>
          <w:sz w:val="44"/>
          <w:szCs w:val="44"/>
        </w:rPr>
      </w:pPr>
      <w:r w:rsidRPr="00C11D92">
        <w:rPr>
          <w:rFonts w:ascii="方正小标宋简体" w:eastAsia="方正小标宋简体" w:hAnsi="方正小标宋_GBK" w:cs="方正小标宋_GBK" w:hint="eastAsia"/>
          <w:bCs/>
          <w:sz w:val="44"/>
          <w:szCs w:val="44"/>
        </w:rPr>
        <w:t>湖北省纤维检验局襄阳分局</w:t>
      </w:r>
    </w:p>
    <w:p w:rsidR="00FE0178" w:rsidRPr="00C11D92" w:rsidRDefault="0025139C" w:rsidP="002E5EB7">
      <w:pPr>
        <w:adjustRightInd w:val="0"/>
        <w:snapToGrid w:val="0"/>
        <w:jc w:val="center"/>
        <w:rPr>
          <w:rFonts w:ascii="方正小标宋简体" w:eastAsia="方正小标宋简体" w:hAnsi="宋体"/>
          <w:b/>
          <w:sz w:val="44"/>
          <w:szCs w:val="44"/>
        </w:rPr>
      </w:pPr>
      <w:r w:rsidRPr="00C11D92">
        <w:rPr>
          <w:rFonts w:ascii="方正小标宋简体" w:eastAsia="方正小标宋简体" w:hAnsi="方正小标宋_GBK" w:cs="方正小标宋_GBK" w:hint="eastAsia"/>
          <w:bCs/>
          <w:sz w:val="44"/>
          <w:szCs w:val="44"/>
        </w:rPr>
        <w:t>2020年决算公开</w:t>
      </w:r>
      <w:r w:rsidR="002E5EB7" w:rsidRPr="00C11D92">
        <w:rPr>
          <w:rFonts w:ascii="方正小标宋简体" w:eastAsia="方正小标宋简体" w:hAnsi="方正小标宋_GBK" w:cs="方正小标宋_GBK" w:hint="eastAsia"/>
          <w:bCs/>
          <w:sz w:val="44"/>
          <w:szCs w:val="44"/>
        </w:rPr>
        <w:t>说明</w:t>
      </w:r>
    </w:p>
    <w:p w:rsidR="00FE0178" w:rsidRDefault="00FE0178">
      <w:pPr>
        <w:jc w:val="center"/>
        <w:rPr>
          <w:rFonts w:ascii="仿宋" w:eastAsia="仿宋" w:hAnsi="仿宋"/>
          <w:sz w:val="44"/>
          <w:szCs w:val="44"/>
        </w:rPr>
      </w:pPr>
    </w:p>
    <w:p w:rsidR="00FE0178" w:rsidRPr="002144EA" w:rsidRDefault="0025139C" w:rsidP="002144EA">
      <w:pPr>
        <w:spacing w:after="100" w:afterAutospacing="1"/>
        <w:jc w:val="center"/>
        <w:rPr>
          <w:rFonts w:ascii="黑体" w:eastAsia="黑体" w:hAnsi="黑体" w:cs="黑体"/>
          <w:sz w:val="44"/>
          <w:szCs w:val="44"/>
        </w:rPr>
      </w:pPr>
      <w:r w:rsidRPr="002144EA">
        <w:rPr>
          <w:rFonts w:ascii="黑体" w:eastAsia="黑体" w:hAnsi="黑体" w:cs="黑体" w:hint="eastAsia"/>
          <w:sz w:val="44"/>
          <w:szCs w:val="44"/>
        </w:rPr>
        <w:t>目   录</w:t>
      </w:r>
    </w:p>
    <w:p w:rsidR="002144EA" w:rsidRDefault="002144EA" w:rsidP="002144EA">
      <w:pPr>
        <w:ind w:firstLineChars="213" w:firstLine="682"/>
        <w:rPr>
          <w:rFonts w:ascii="黑体" w:eastAsia="黑体" w:hAnsi="黑体" w:cs="黑体"/>
          <w:sz w:val="32"/>
          <w:szCs w:val="32"/>
        </w:rPr>
      </w:pPr>
      <w:r>
        <w:rPr>
          <w:rFonts w:ascii="黑体" w:eastAsia="黑体" w:hAnsi="黑体" w:cs="黑体" w:hint="eastAsia"/>
          <w:sz w:val="32"/>
          <w:szCs w:val="32"/>
        </w:rPr>
        <w:t>一、省纤检局襄阳分局基本情况</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（一）主要职能</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（二）机构设置</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（三）人员及编制情况</w:t>
      </w:r>
    </w:p>
    <w:p w:rsidR="002144EA" w:rsidRDefault="002144EA" w:rsidP="002144EA">
      <w:pPr>
        <w:ind w:firstLineChars="213" w:firstLine="682"/>
        <w:rPr>
          <w:rFonts w:ascii="黑体" w:eastAsia="黑体" w:hAnsi="黑体" w:cs="黑体"/>
          <w:sz w:val="32"/>
          <w:szCs w:val="32"/>
        </w:rPr>
      </w:pPr>
      <w:r>
        <w:rPr>
          <w:rFonts w:ascii="黑体" w:eastAsia="黑体" w:hAnsi="黑体" w:cs="黑体" w:hint="eastAsia"/>
          <w:sz w:val="32"/>
          <w:szCs w:val="32"/>
        </w:rPr>
        <w:t>二、省纤检局襄阳分局2020年度部门决算公开表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（一）收入支出决算总表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（二）收入决算表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（三）支出决算表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（四）财政拨款收入支出决算总表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（五）一般公共预算财政拨款支出决算表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（六）一般公共预算财政拨款基本支出决算表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（七）一般公共预算财政拨款“三公”经费支出决算表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（八）政府性基金预算财政拨款收入支出决算表</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（九）国有资本经营预算财政拨款支出决算表</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t>三、省纤检局襄阳分局2020年度部门决算公开表说明</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t>四、关于“三公”经费支出说明</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t>五、关于机关运行经费支出说明</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t>六、关于政府采购支出说明</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七、关于国有资产占用情况说明</w:t>
      </w:r>
    </w:p>
    <w:p w:rsidR="002144EA" w:rsidRDefault="002144EA" w:rsidP="002144EA">
      <w:pPr>
        <w:ind w:firstLineChars="200" w:firstLine="640"/>
        <w:rPr>
          <w:rFonts w:ascii="黑体" w:eastAsia="黑体" w:hAnsi="黑体" w:cs="黑体"/>
          <w:sz w:val="32"/>
          <w:szCs w:val="32"/>
        </w:rPr>
      </w:pPr>
      <w:r>
        <w:rPr>
          <w:rFonts w:ascii="黑体" w:eastAsia="黑体" w:hAnsi="黑体" w:cs="黑体" w:hint="eastAsia"/>
          <w:sz w:val="32"/>
          <w:szCs w:val="32"/>
        </w:rPr>
        <w:t>八、其他需要情况的事项</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扶贫资金安排情况，政府性基金及举借政府债务情况等</w:t>
      </w:r>
    </w:p>
    <w:p w:rsidR="002144EA" w:rsidRDefault="002144EA" w:rsidP="002144EA">
      <w:pPr>
        <w:ind w:firstLineChars="200" w:firstLine="640"/>
        <w:rPr>
          <w:rFonts w:ascii="黑体" w:eastAsia="黑体" w:hAnsi="黑体" w:cs="黑体"/>
          <w:bCs/>
          <w:sz w:val="32"/>
          <w:szCs w:val="32"/>
        </w:rPr>
      </w:pPr>
      <w:r>
        <w:rPr>
          <w:rFonts w:ascii="黑体" w:eastAsia="黑体" w:hAnsi="黑体" w:cs="黑体" w:hint="eastAsia"/>
          <w:bCs/>
          <w:sz w:val="32"/>
          <w:szCs w:val="32"/>
        </w:rPr>
        <w:t>九、关于</w:t>
      </w:r>
      <w:r>
        <w:rPr>
          <w:rFonts w:ascii="黑体" w:eastAsia="黑体" w:hAnsi="黑体" w:cs="黑体" w:hint="eastAsia"/>
          <w:sz w:val="32"/>
          <w:szCs w:val="32"/>
        </w:rPr>
        <w:t>2020年度预算</w:t>
      </w:r>
      <w:r>
        <w:rPr>
          <w:rFonts w:ascii="黑体" w:eastAsia="黑体" w:hAnsi="黑体" w:cs="黑体" w:hint="eastAsia"/>
          <w:bCs/>
          <w:sz w:val="32"/>
          <w:szCs w:val="32"/>
        </w:rPr>
        <w:t>绩效</w:t>
      </w:r>
      <w:r>
        <w:rPr>
          <w:rFonts w:ascii="黑体" w:eastAsia="黑体" w:hAnsi="黑体" w:cs="黑体" w:hint="eastAsia"/>
          <w:sz w:val="32"/>
          <w:szCs w:val="32"/>
        </w:rPr>
        <w:t>情况</w:t>
      </w:r>
      <w:r>
        <w:rPr>
          <w:rFonts w:ascii="黑体" w:eastAsia="黑体" w:hAnsi="黑体" w:cs="黑体" w:hint="eastAsia"/>
          <w:bCs/>
          <w:sz w:val="32"/>
          <w:szCs w:val="32"/>
        </w:rPr>
        <w:t>说明</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（一）预算绩效管理工作开展情况</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（二）部门决算中项目绩效自评结果</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（三）绩效评价结果应用情况</w:t>
      </w:r>
    </w:p>
    <w:p w:rsidR="002144EA" w:rsidRDefault="002144EA" w:rsidP="002144EA">
      <w:pPr>
        <w:ind w:firstLineChars="200" w:firstLine="640"/>
        <w:rPr>
          <w:rFonts w:ascii="黑体" w:eastAsia="黑体" w:hAnsi="黑体" w:cs="黑体"/>
          <w:bCs/>
          <w:sz w:val="32"/>
          <w:szCs w:val="32"/>
        </w:rPr>
      </w:pPr>
      <w:r>
        <w:rPr>
          <w:rFonts w:ascii="黑体" w:eastAsia="黑体" w:hAnsi="黑体" w:cs="黑体" w:hint="eastAsia"/>
          <w:bCs/>
          <w:sz w:val="32"/>
          <w:szCs w:val="32"/>
        </w:rPr>
        <w:t>十、名词解释</w:t>
      </w:r>
    </w:p>
    <w:p w:rsidR="002144EA" w:rsidRPr="007E3782" w:rsidRDefault="002144EA" w:rsidP="002144EA">
      <w:pPr>
        <w:ind w:firstLineChars="200" w:firstLine="640"/>
        <w:rPr>
          <w:rFonts w:ascii="仿宋_GB2312" w:eastAsia="仿宋_GB2312" w:hAnsi="方正仿宋_GBK" w:cs="方正仿宋_GBK"/>
          <w:sz w:val="32"/>
          <w:szCs w:val="32"/>
        </w:rPr>
      </w:pPr>
      <w:r w:rsidRPr="007E3782">
        <w:rPr>
          <w:rFonts w:ascii="仿宋_GB2312" w:eastAsia="仿宋_GB2312" w:hAnsi="方正仿宋_GBK" w:cs="方正仿宋_GBK" w:hint="eastAsia"/>
          <w:sz w:val="32"/>
          <w:szCs w:val="32"/>
        </w:rPr>
        <w:t>（一）收入科目</w:t>
      </w:r>
    </w:p>
    <w:p w:rsidR="002144EA" w:rsidRPr="007E3782" w:rsidRDefault="002144EA" w:rsidP="002144EA">
      <w:pPr>
        <w:snapToGrid w:val="0"/>
        <w:spacing w:line="360" w:lineRule="auto"/>
        <w:ind w:firstLineChars="213" w:firstLine="682"/>
        <w:rPr>
          <w:rFonts w:ascii="仿宋_GB2312" w:eastAsia="仿宋_GB2312" w:hAnsi="方正仿宋_GBK" w:cs="方正仿宋_GBK"/>
          <w:color w:val="333333"/>
          <w:sz w:val="32"/>
          <w:szCs w:val="32"/>
        </w:rPr>
      </w:pPr>
      <w:r w:rsidRPr="007E3782">
        <w:rPr>
          <w:rFonts w:ascii="仿宋_GB2312" w:eastAsia="仿宋_GB2312" w:hAnsi="方正仿宋_GBK" w:cs="方正仿宋_GBK" w:hint="eastAsia"/>
          <w:color w:val="333333"/>
          <w:sz w:val="32"/>
          <w:szCs w:val="32"/>
        </w:rPr>
        <w:t>（二）支出科目</w:t>
      </w:r>
    </w:p>
    <w:p w:rsidR="002144EA" w:rsidRDefault="002144EA">
      <w:pPr>
        <w:widowControl/>
        <w:jc w:val="left"/>
        <w:rPr>
          <w:rFonts w:ascii="黑体" w:eastAsia="黑体" w:hAnsi="黑体" w:cs="黑体"/>
          <w:sz w:val="32"/>
          <w:szCs w:val="32"/>
        </w:rPr>
      </w:pPr>
      <w:r>
        <w:rPr>
          <w:rFonts w:ascii="黑体" w:eastAsia="黑体" w:hAnsi="黑体" w:cs="黑体"/>
          <w:sz w:val="32"/>
          <w:szCs w:val="32"/>
        </w:rPr>
        <w:br w:type="page"/>
      </w:r>
    </w:p>
    <w:p w:rsidR="00FE0178" w:rsidRDefault="0025139C" w:rsidP="00C11D92">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lastRenderedPageBreak/>
        <w:t>一、省纤检局襄阳分局基本情况</w:t>
      </w:r>
    </w:p>
    <w:p w:rsidR="00FE0178" w:rsidRDefault="0025139C" w:rsidP="00C11D92">
      <w:pPr>
        <w:spacing w:line="360" w:lineRule="auto"/>
        <w:ind w:firstLineChars="213" w:firstLine="682"/>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（一）主要职能</w:t>
      </w:r>
    </w:p>
    <w:p w:rsidR="00FE0178" w:rsidRDefault="0025139C" w:rsidP="00C11D92">
      <w:pPr>
        <w:snapToGrid w:val="0"/>
        <w:spacing w:line="360" w:lineRule="auto"/>
        <w:ind w:firstLineChars="200" w:firstLine="640"/>
      </w:pPr>
      <w:r>
        <w:rPr>
          <w:rFonts w:ascii="仿宋_GB2312" w:eastAsia="仿宋_GB2312" w:cs="仿宋_GB2312" w:hint="eastAsia"/>
          <w:sz w:val="32"/>
          <w:szCs w:val="32"/>
        </w:rPr>
        <w:t>主要从事纤维及其制品的监督检验</w:t>
      </w:r>
      <w:r>
        <w:rPr>
          <w:rFonts w:ascii="仿宋_GB2312" w:eastAsia="仿宋_GB2312" w:cs="仿宋_GB2312"/>
          <w:sz w:val="32"/>
          <w:szCs w:val="32"/>
        </w:rPr>
        <w:t xml:space="preserve"> </w:t>
      </w:r>
      <w:r>
        <w:rPr>
          <w:rFonts w:ascii="仿宋_GB2312" w:eastAsia="仿宋_GB2312" w:cs="仿宋_GB2312" w:hint="eastAsia"/>
          <w:sz w:val="32"/>
          <w:szCs w:val="32"/>
        </w:rPr>
        <w:t>、棉花质量的公证检验</w:t>
      </w:r>
      <w:r>
        <w:rPr>
          <w:rFonts w:ascii="仿宋_GB2312" w:eastAsia="仿宋_GB2312" w:cs="仿宋_GB2312"/>
          <w:sz w:val="32"/>
          <w:szCs w:val="32"/>
        </w:rPr>
        <w:t xml:space="preserve"> </w:t>
      </w:r>
      <w:r>
        <w:rPr>
          <w:rFonts w:ascii="仿宋_GB2312" w:eastAsia="仿宋_GB2312" w:cs="仿宋_GB2312" w:hint="eastAsia"/>
          <w:sz w:val="32"/>
          <w:szCs w:val="32"/>
        </w:rPr>
        <w:t>、纤维及其制品的仲裁复验，纺织产品的定期抽验及市场流通领域纤维制成品的监督检查。</w:t>
      </w:r>
    </w:p>
    <w:p w:rsidR="00FE0178" w:rsidRDefault="0025139C" w:rsidP="00C11D92">
      <w:pPr>
        <w:numPr>
          <w:ilvl w:val="0"/>
          <w:numId w:val="1"/>
        </w:numPr>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机构设置</w:t>
      </w:r>
    </w:p>
    <w:p w:rsidR="00FE0178" w:rsidRDefault="0025139C" w:rsidP="00C11D92">
      <w:pPr>
        <w:snapToGrid w:val="0"/>
        <w:spacing w:line="360" w:lineRule="auto"/>
        <w:ind w:firstLineChars="200" w:firstLine="640"/>
        <w:rPr>
          <w:rFonts w:ascii="方正仿宋_GBK" w:eastAsia="方正仿宋_GBK" w:hAnsi="方正仿宋_GBK" w:cs="方正仿宋_GBK"/>
          <w:sz w:val="32"/>
          <w:szCs w:val="32"/>
        </w:rPr>
      </w:pPr>
      <w:r>
        <w:rPr>
          <w:rFonts w:ascii="仿宋_GB2312" w:eastAsia="仿宋_GB2312" w:hAnsi="宋体" w:cs="仿宋_GB2312" w:hint="eastAsia"/>
          <w:color w:val="000000"/>
          <w:sz w:val="32"/>
          <w:szCs w:val="32"/>
        </w:rPr>
        <w:t>湖北省纤维检验局襄阳分局内设五个科室，分别为办公室、业务科、综合测试室、检验科、执法科、。</w:t>
      </w:r>
      <w:r>
        <w:rPr>
          <w:rFonts w:ascii="仿宋_GB2312" w:eastAsia="仿宋_GB2312" w:hAnsi="宋体" w:cs="仿宋_GB2312" w:hint="eastAsia"/>
          <w:sz w:val="32"/>
          <w:szCs w:val="32"/>
        </w:rPr>
        <w:t>固定资产原值总计</w:t>
      </w:r>
      <w:r>
        <w:rPr>
          <w:rFonts w:ascii="仿宋_GB2312" w:eastAsia="仿宋_GB2312" w:hAnsi="宋体" w:cs="仿宋_GB2312" w:hint="eastAsia"/>
          <w:color w:val="000000"/>
          <w:sz w:val="32"/>
          <w:szCs w:val="32"/>
        </w:rPr>
        <w:t>1031.09万元。其中房屋</w:t>
      </w:r>
      <w:r>
        <w:rPr>
          <w:rFonts w:ascii="仿宋_GB2312" w:eastAsia="仿宋_GB2312" w:hAnsi="宋体" w:cs="仿宋_GB2312"/>
          <w:color w:val="000000"/>
          <w:sz w:val="32"/>
          <w:szCs w:val="32"/>
        </w:rPr>
        <w:t>141.4</w:t>
      </w:r>
      <w:r>
        <w:rPr>
          <w:rFonts w:ascii="仿宋_GB2312" w:eastAsia="仿宋_GB2312" w:hAnsi="宋体" w:cs="仿宋_GB2312" w:hint="eastAsia"/>
          <w:color w:val="000000"/>
          <w:sz w:val="32"/>
          <w:szCs w:val="32"/>
        </w:rPr>
        <w:t>万元，汽车</w:t>
      </w: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辆，价值</w:t>
      </w:r>
      <w:r>
        <w:rPr>
          <w:rFonts w:ascii="仿宋_GB2312" w:eastAsia="仿宋_GB2312" w:hAnsi="宋体" w:cs="仿宋_GB2312"/>
          <w:color w:val="000000"/>
          <w:sz w:val="32"/>
          <w:szCs w:val="32"/>
        </w:rPr>
        <w:t>81.1</w:t>
      </w:r>
      <w:r>
        <w:rPr>
          <w:rFonts w:ascii="仿宋_GB2312" w:eastAsia="仿宋_GB2312" w:hAnsi="宋体" w:cs="仿宋_GB2312" w:hint="eastAsia"/>
          <w:color w:val="000000"/>
          <w:sz w:val="32"/>
          <w:szCs w:val="32"/>
        </w:rPr>
        <w:t>万元，其他设备、家具资产808.59</w:t>
      </w:r>
      <w:r>
        <w:rPr>
          <w:rFonts w:ascii="仿宋_GB2312" w:eastAsia="仿宋_GB2312" w:hAnsi="宋体" w:cs="仿宋_GB2312" w:hint="eastAsia"/>
          <w:sz w:val="32"/>
          <w:szCs w:val="32"/>
        </w:rPr>
        <w:t>万元，无形资产</w:t>
      </w:r>
      <w:r>
        <w:rPr>
          <w:rFonts w:ascii="仿宋_GB2312" w:eastAsia="仿宋_GB2312" w:hAnsi="宋体" w:cs="仿宋_GB2312"/>
          <w:sz w:val="32"/>
          <w:szCs w:val="32"/>
        </w:rPr>
        <w:t>91</w:t>
      </w:r>
      <w:r>
        <w:rPr>
          <w:rFonts w:ascii="仿宋_GB2312" w:eastAsia="仿宋_GB2312" w:hAnsi="宋体" w:cs="仿宋_GB2312" w:hint="eastAsia"/>
          <w:sz w:val="32"/>
          <w:szCs w:val="32"/>
        </w:rPr>
        <w:t>万元</w:t>
      </w:r>
      <w:r>
        <w:rPr>
          <w:rFonts w:ascii="仿宋_GB2312" w:eastAsia="仿宋_GB2312" w:hAnsi="仿宋" w:hint="eastAsia"/>
          <w:sz w:val="32"/>
          <w:szCs w:val="32"/>
        </w:rPr>
        <w:t>。</w:t>
      </w:r>
    </w:p>
    <w:p w:rsidR="00FE0178" w:rsidRDefault="0025139C" w:rsidP="00C11D92">
      <w:pPr>
        <w:numPr>
          <w:ilvl w:val="0"/>
          <w:numId w:val="1"/>
        </w:numPr>
        <w:adjustRightInd w:val="0"/>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人员及编制情况</w:t>
      </w:r>
    </w:p>
    <w:p w:rsidR="00FE0178" w:rsidRDefault="0025139C" w:rsidP="00C11D92">
      <w:pPr>
        <w:adjustRightInd w:val="0"/>
        <w:snapToGrid w:val="0"/>
        <w:spacing w:line="360" w:lineRule="auto"/>
        <w:ind w:firstLineChars="200" w:firstLine="640"/>
      </w:pPr>
      <w:r>
        <w:rPr>
          <w:rFonts w:ascii="仿宋_GB2312" w:eastAsia="仿宋_GB2312" w:hAnsi="宋体" w:cs="仿宋_GB2312" w:hint="eastAsia"/>
          <w:color w:val="000000"/>
          <w:sz w:val="32"/>
          <w:szCs w:val="32"/>
        </w:rPr>
        <w:t>编制</w:t>
      </w:r>
      <w:r>
        <w:rPr>
          <w:rFonts w:ascii="仿宋_GB2312" w:eastAsia="仿宋_GB2312" w:hAnsi="宋体" w:cs="仿宋_GB2312"/>
          <w:color w:val="000000"/>
          <w:sz w:val="32"/>
          <w:szCs w:val="32"/>
        </w:rPr>
        <w:t>22</w:t>
      </w:r>
      <w:r>
        <w:rPr>
          <w:rFonts w:ascii="仿宋_GB2312" w:eastAsia="仿宋_GB2312" w:hAnsi="宋体" w:cs="仿宋_GB2312" w:hint="eastAsia"/>
          <w:color w:val="000000"/>
          <w:sz w:val="32"/>
          <w:szCs w:val="32"/>
        </w:rPr>
        <w:t>人，年末在职</w:t>
      </w: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1人，退休12人，比去年新增0人。</w:t>
      </w:r>
    </w:p>
    <w:p w:rsidR="00FE0178" w:rsidRDefault="0025139C" w:rsidP="00C11D92">
      <w:pPr>
        <w:adjustRightInd w:val="0"/>
        <w:snapToGrid w:val="0"/>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二、省纤检局襄阳分局2020年度部门决算公开表（见公开表）</w:t>
      </w:r>
    </w:p>
    <w:p w:rsidR="00FE0178" w:rsidRPr="00C11D92" w:rsidRDefault="0025139C" w:rsidP="00C11D92">
      <w:pPr>
        <w:spacing w:line="360" w:lineRule="auto"/>
        <w:ind w:firstLineChars="213" w:firstLine="682"/>
        <w:rPr>
          <w:rFonts w:ascii="仿宋_GB2312" w:eastAsia="仿宋_GB2312"/>
        </w:rPr>
      </w:pPr>
      <w:r w:rsidRPr="00C11D92">
        <w:rPr>
          <w:rFonts w:ascii="仿宋_GB2312" w:eastAsia="仿宋_GB2312" w:hAnsi="方正仿宋_GBK" w:cs="方正仿宋_GBK" w:hint="eastAsia"/>
          <w:sz w:val="32"/>
          <w:szCs w:val="32"/>
        </w:rPr>
        <w:t>（一）收入支出决算总表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（二）收入决算表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（三）支出决算表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（四）财政拨款收入支出决算总表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（五）一般公共预算财政拨款支出决算表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（六）一般公共预算财政拨款基本支出决算表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（七）一般公共预算财政拨款“三公”经费支出决算表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（八）政府性基金预算财政拨款收入支出决算表</w:t>
      </w:r>
    </w:p>
    <w:p w:rsidR="00FE0178" w:rsidRPr="00C11D92" w:rsidRDefault="0025139C" w:rsidP="00C11D92">
      <w:pPr>
        <w:spacing w:line="360" w:lineRule="auto"/>
        <w:ind w:firstLineChars="213" w:firstLine="682"/>
        <w:rPr>
          <w:rFonts w:ascii="仿宋_GB2312" w:eastAsia="仿宋_GB2312" w:hAnsi="方正仿宋_GBK" w:cs="方正仿宋_GBK"/>
          <w:sz w:val="32"/>
          <w:szCs w:val="32"/>
        </w:rPr>
      </w:pPr>
      <w:r w:rsidRPr="00C11D92">
        <w:rPr>
          <w:rFonts w:ascii="仿宋_GB2312" w:eastAsia="仿宋_GB2312" w:hAnsi="方正仿宋_GBK" w:cs="方正仿宋_GBK" w:hint="eastAsia"/>
          <w:sz w:val="32"/>
          <w:szCs w:val="32"/>
        </w:rPr>
        <w:t>（九）国有资本经营预算财政拨款支出决算表</w:t>
      </w:r>
    </w:p>
    <w:p w:rsidR="00FE0178" w:rsidRDefault="0025139C" w:rsidP="00C11D92">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三、省纤检局襄阳分局2020年度部门决算公开表说明</w:t>
      </w:r>
    </w:p>
    <w:p w:rsidR="00FE0178" w:rsidRDefault="0025139C" w:rsidP="00C11D92">
      <w:pPr>
        <w:spacing w:line="360" w:lineRule="auto"/>
        <w:ind w:firstLineChars="200" w:firstLine="643"/>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（一）收入支出决算总表说明（公开01表）</w:t>
      </w:r>
    </w:p>
    <w:p w:rsidR="00FE0178" w:rsidRDefault="0025139C" w:rsidP="00C11D92">
      <w:pPr>
        <w:spacing w:line="360" w:lineRule="auto"/>
        <w:ind w:firstLineChars="200" w:firstLine="640"/>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sz w:val="32"/>
          <w:szCs w:val="32"/>
        </w:rPr>
        <w:t>本单位2020年度收支决算总计752.53万元，</w:t>
      </w:r>
      <w:r>
        <w:rPr>
          <w:rFonts w:ascii="仿宋_GB2312" w:eastAsia="仿宋_GB2312" w:hAnsi="方正仿宋_GBK" w:cs="方正仿宋_GBK" w:hint="eastAsia"/>
          <w:color w:val="000000" w:themeColor="text1"/>
          <w:sz w:val="32"/>
          <w:szCs w:val="32"/>
        </w:rPr>
        <w:t>同年初预算比较减少22.81万元；主要原因是：政策变化导致人员经费支出减少，同上年度支出决算数比较减少120.19万元，主要原因：根据实际检验量下拨的棉花公证检验经费减少，导致项目支出减少。</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（二）收入决算表（公开02表）</w:t>
      </w:r>
    </w:p>
    <w:p w:rsidR="00FE0178" w:rsidRDefault="0025139C" w:rsidP="00C11D92">
      <w:pPr>
        <w:snapToGrid w:val="0"/>
        <w:spacing w:line="360" w:lineRule="auto"/>
        <w:ind w:firstLineChars="200" w:firstLine="640"/>
        <w:outlineLvl w:val="0"/>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本单位2020年度收入决算</w:t>
      </w:r>
      <w:r>
        <w:rPr>
          <w:rFonts w:ascii="仿宋_GB2312" w:eastAsia="仿宋_GB2312" w:hAnsi="方正仿宋_GBK" w:cs="方正仿宋_GBK" w:hint="eastAsia"/>
          <w:sz w:val="32"/>
          <w:szCs w:val="32"/>
        </w:rPr>
        <w:t>806.13</w:t>
      </w:r>
      <w:r>
        <w:rPr>
          <w:rFonts w:ascii="仿宋_GB2312" w:eastAsia="仿宋_GB2312" w:hAnsi="方正仿宋_GBK" w:cs="方正仿宋_GBK" w:hint="eastAsia"/>
          <w:color w:val="000000" w:themeColor="text1"/>
          <w:sz w:val="32"/>
          <w:szCs w:val="32"/>
        </w:rPr>
        <w:t>万元，其中：财政拨款收入774.58万元，占比96.09%；上级补助收入31.42万元，占比3.90%，其他收入0.13万元，占比0.01%。同年初预算比较增加328.69万元；同上年度收入决算数比较减少69.47主要原因：根据实际检验量下拨的棉花公证检验经费减少导致项目收入减少。</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（三）支出决算表（公开03表）</w:t>
      </w:r>
    </w:p>
    <w:p w:rsidR="00FE0178" w:rsidRDefault="0025139C" w:rsidP="00C11D92">
      <w:pPr>
        <w:spacing w:line="360" w:lineRule="auto"/>
        <w:ind w:firstLine="601"/>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本单位2020年度支出决算783.73万元，其中基本支出397.65万元，占比50.74%；项目支出386.08万元，占比49.26%。</w:t>
      </w:r>
    </w:p>
    <w:p w:rsidR="00FE0178" w:rsidRDefault="0025139C" w:rsidP="00C11D92">
      <w:pPr>
        <w:spacing w:line="360" w:lineRule="auto"/>
        <w:ind w:firstLine="601"/>
        <w:rPr>
          <w:rFonts w:ascii="仿宋_GB2312" w:eastAsia="仿宋_GB2312" w:hAnsi="方正仿宋_GBK" w:cs="方正仿宋_GBK"/>
          <w:color w:val="000000" w:themeColor="text1"/>
          <w:sz w:val="32"/>
          <w:szCs w:val="32"/>
          <w:highlight w:val="yellow"/>
        </w:rPr>
      </w:pPr>
      <w:r>
        <w:rPr>
          <w:rFonts w:ascii="仿宋_GB2312" w:eastAsia="仿宋_GB2312" w:hAnsi="方正仿宋_GBK" w:cs="方正仿宋_GBK" w:hint="eastAsia"/>
          <w:color w:val="000000" w:themeColor="text1"/>
          <w:sz w:val="32"/>
          <w:szCs w:val="32"/>
        </w:rPr>
        <w:t>2020年度支出决算同上年度比较减少120.19万元，主要原因：根据实际检验量下拨的棉花公证检验经费减少，导致项目支出减少。</w:t>
      </w:r>
    </w:p>
    <w:p w:rsidR="00FE0178" w:rsidRDefault="0025139C" w:rsidP="00C11D92">
      <w:pPr>
        <w:spacing w:line="360" w:lineRule="auto"/>
        <w:ind w:firstLine="601"/>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2020年度支出同年初预算数比较增加306.29，主要原因：政策变化导致人员经费支出减少。</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（四）财政拨款收入支出决算总表（公开04表）</w:t>
      </w:r>
    </w:p>
    <w:p w:rsidR="00FE0178" w:rsidRDefault="0025139C" w:rsidP="00C11D92">
      <w:pPr>
        <w:spacing w:line="360" w:lineRule="auto"/>
        <w:ind w:firstLine="601"/>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2020年度财政拨款收支决算793.36万元</w:t>
      </w:r>
      <w:r>
        <w:rPr>
          <w:rFonts w:ascii="仿宋_GB2312" w:eastAsia="仿宋_GB2312" w:hAnsi="方正仿宋_GBK" w:cs="方正仿宋_GBK" w:hint="eastAsia"/>
          <w:color w:val="000000" w:themeColor="text1"/>
          <w:sz w:val="32"/>
          <w:szCs w:val="32"/>
        </w:rPr>
        <w:t>，同年初预算比较增加315.92万元；同上年度支出决算数比较减少23.8万元，主要原</w:t>
      </w:r>
      <w:r>
        <w:rPr>
          <w:rFonts w:ascii="仿宋_GB2312" w:eastAsia="仿宋_GB2312" w:hAnsi="方正仿宋_GBK" w:cs="方正仿宋_GBK" w:hint="eastAsia"/>
          <w:color w:val="000000" w:themeColor="text1"/>
          <w:sz w:val="32"/>
          <w:szCs w:val="32"/>
        </w:rPr>
        <w:lastRenderedPageBreak/>
        <w:t>因：</w:t>
      </w:r>
      <w:r>
        <w:rPr>
          <w:rFonts w:ascii="仿宋_GB2312" w:eastAsia="仿宋_GB2312" w:hAnsi="方正仿宋_GBK" w:cs="方正仿宋_GBK"/>
          <w:color w:val="000000" w:themeColor="text1"/>
          <w:sz w:val="32"/>
          <w:szCs w:val="32"/>
        </w:rPr>
        <w:t xml:space="preserve"> </w:t>
      </w:r>
      <w:r>
        <w:rPr>
          <w:rFonts w:ascii="仿宋_GB2312" w:eastAsia="仿宋_GB2312" w:hAnsi="方正仿宋_GBK" w:cs="方正仿宋_GBK" w:hint="eastAsia"/>
          <w:color w:val="000000" w:themeColor="text1"/>
          <w:sz w:val="32"/>
          <w:szCs w:val="32"/>
        </w:rPr>
        <w:t>根据实际检验量下拨的棉花公证检验经费减少，导致项目支出减少。</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（五）一般公共预算财政拨款支出决算表（公开05表）</w:t>
      </w:r>
    </w:p>
    <w:p w:rsidR="00FE0178" w:rsidRDefault="0025139C" w:rsidP="00C11D92">
      <w:pPr>
        <w:spacing w:line="360" w:lineRule="auto"/>
        <w:ind w:firstLine="601"/>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本单位2020年度一般公共预算财政拨款支出决算793.36万元，同年初预算比较增加315.92万元；同上年度支出决算数比较减少79.36，主要原因：根据实际检验量下拨的棉花公证检验经费减少，导致项目支出减少。</w:t>
      </w:r>
    </w:p>
    <w:p w:rsidR="00FE0178" w:rsidRDefault="0025139C" w:rsidP="00C11D92">
      <w:pPr>
        <w:spacing w:line="360" w:lineRule="auto"/>
        <w:ind w:firstLine="601"/>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（六）一般公共预算财政拨款基本支出决算表（公开06表）</w:t>
      </w:r>
    </w:p>
    <w:p w:rsidR="00FE0178" w:rsidRDefault="0025139C" w:rsidP="00C11D92">
      <w:pPr>
        <w:spacing w:line="360" w:lineRule="auto"/>
        <w:ind w:firstLine="601"/>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本单位2020年度一般公共预算财政拨款基本支出决算397.65万元，同年初预算比较持平；同上年度支出决算数比较减少0.79万元，主要原因：人员退休导致人员经费减少。</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（七）财政拨款“三公”经费支出决算表（公开07表）</w:t>
      </w:r>
    </w:p>
    <w:p w:rsidR="00FE0178" w:rsidRDefault="0025139C" w:rsidP="00C11D92">
      <w:pPr>
        <w:tabs>
          <w:tab w:val="left" w:pos="720"/>
          <w:tab w:val="left" w:pos="900"/>
        </w:tabs>
        <w:spacing w:line="360" w:lineRule="auto"/>
        <w:ind w:firstLineChars="200" w:firstLine="640"/>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本单位2020年度财政拨款“三公”经费支出决算4.27万元，同年初预算比较减少4.27万元</w:t>
      </w:r>
      <w:r w:rsidRPr="000F0597">
        <w:rPr>
          <w:rFonts w:ascii="仿宋_GB2312" w:eastAsia="仿宋_GB2312" w:hAnsi="方正仿宋_GBK" w:cs="方正仿宋_GBK" w:hint="eastAsia"/>
          <w:sz w:val="32"/>
          <w:szCs w:val="32"/>
        </w:rPr>
        <w:t>；</w:t>
      </w:r>
      <w:r>
        <w:rPr>
          <w:rFonts w:ascii="仿宋_GB2312" w:eastAsia="仿宋_GB2312" w:hAnsi="方正仿宋_GBK" w:cs="方正仿宋_GBK" w:hint="eastAsia"/>
          <w:color w:val="000000" w:themeColor="text1"/>
          <w:sz w:val="32"/>
          <w:szCs w:val="32"/>
        </w:rPr>
        <w:t>同上年度支出决算数比较减少7.27万元，主要原因：</w:t>
      </w:r>
      <w:r w:rsidR="000F0597" w:rsidRPr="0089216C">
        <w:rPr>
          <w:rFonts w:ascii="仿宋_GB2312" w:eastAsia="仿宋_GB2312" w:hAnsi="方正仿宋_GBK" w:cs="方正仿宋_GBK" w:hint="eastAsia"/>
          <w:b/>
          <w:bCs/>
          <w:sz w:val="32"/>
          <w:szCs w:val="32"/>
        </w:rPr>
        <w:t>一是</w:t>
      </w:r>
      <w:r w:rsidR="000F0597">
        <w:rPr>
          <w:rFonts w:ascii="仿宋_GB2312" w:eastAsia="仿宋_GB2312" w:hAnsi="方正仿宋_GBK" w:cs="方正仿宋_GBK" w:hint="eastAsia"/>
          <w:sz w:val="32"/>
          <w:szCs w:val="32"/>
        </w:rPr>
        <w:t>受疫情影响，“三公”经费减少</w:t>
      </w:r>
      <w:r w:rsidR="000F0597" w:rsidRPr="0089216C">
        <w:rPr>
          <w:rFonts w:ascii="仿宋_GB2312" w:eastAsia="仿宋_GB2312" w:hAnsi="方正仿宋_GBK" w:cs="方正仿宋_GBK" w:hint="eastAsia"/>
          <w:sz w:val="32"/>
          <w:szCs w:val="32"/>
        </w:rPr>
        <w:t>；</w:t>
      </w:r>
      <w:r w:rsidR="000F0597" w:rsidRPr="0089216C">
        <w:rPr>
          <w:rFonts w:ascii="仿宋_GB2312" w:eastAsia="仿宋_GB2312" w:hAnsi="方正仿宋_GBK" w:cs="方正仿宋_GBK" w:hint="eastAsia"/>
          <w:b/>
          <w:bCs/>
          <w:sz w:val="32"/>
          <w:szCs w:val="32"/>
        </w:rPr>
        <w:t>二</w:t>
      </w:r>
      <w:r w:rsidR="000F0597" w:rsidRPr="0089216C">
        <w:rPr>
          <w:rFonts w:ascii="仿宋_GB2312" w:eastAsia="仿宋_GB2312" w:hAnsi="方正仿宋_GBK" w:cs="方正仿宋_GBK" w:hint="eastAsia"/>
          <w:b/>
          <w:bCs/>
          <w:color w:val="000000"/>
          <w:sz w:val="32"/>
          <w:szCs w:val="32"/>
        </w:rPr>
        <w:t>是</w:t>
      </w:r>
      <w:r w:rsidR="000F0597" w:rsidRPr="0089216C">
        <w:rPr>
          <w:rFonts w:ascii="仿宋_GB2312" w:eastAsia="仿宋_GB2312" w:hAnsi="方正仿宋_GBK" w:cs="方正仿宋_GBK" w:hint="eastAsia"/>
          <w:color w:val="000000"/>
          <w:sz w:val="32"/>
          <w:szCs w:val="32"/>
        </w:rPr>
        <w:t>落实过“苦日子”要求，</w:t>
      </w:r>
      <w:r w:rsidR="000F0597" w:rsidRPr="0089216C">
        <w:rPr>
          <w:rFonts w:ascii="仿宋_GB2312" w:eastAsia="仿宋_GB2312" w:hAnsi="方正仿宋_GBK" w:cs="方正仿宋_GBK" w:hint="eastAsia"/>
          <w:sz w:val="32"/>
          <w:szCs w:val="32"/>
        </w:rPr>
        <w:t>压减一般性支出等</w:t>
      </w:r>
      <w:r w:rsidR="000F0597" w:rsidRPr="0089216C">
        <w:rPr>
          <w:rFonts w:ascii="仿宋_GB2312" w:eastAsia="仿宋_GB2312" w:hAnsi="方正仿宋_GBK" w:cs="方正仿宋_GBK" w:hint="eastAsia"/>
          <w:color w:val="000000"/>
          <w:sz w:val="32"/>
          <w:szCs w:val="32"/>
        </w:rPr>
        <w:t>。</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（八）政府性基金预算财政拨款收入支出决算表（公开08表）</w:t>
      </w:r>
    </w:p>
    <w:p w:rsidR="00FE0178" w:rsidRDefault="0025139C" w:rsidP="00C11D92">
      <w:pPr>
        <w:snapToGrid w:val="0"/>
        <w:spacing w:line="360" w:lineRule="auto"/>
        <w:ind w:firstLine="645"/>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本单位2020年度无政府性基金预算财政拨款收入支出。</w:t>
      </w:r>
    </w:p>
    <w:p w:rsidR="00FE0178" w:rsidRDefault="0025139C" w:rsidP="00C11D92">
      <w:pPr>
        <w:snapToGrid w:val="0"/>
        <w:spacing w:line="360" w:lineRule="auto"/>
        <w:ind w:firstLineChars="200" w:firstLine="643"/>
        <w:outlineLvl w:val="0"/>
        <w:rPr>
          <w:rFonts w:ascii="仿宋_GB2312" w:eastAsia="仿宋_GB2312" w:hAnsi="方正仿宋_GBK" w:cs="方正仿宋_GBK"/>
          <w:b/>
          <w:color w:val="000000" w:themeColor="text1"/>
          <w:sz w:val="32"/>
          <w:szCs w:val="32"/>
        </w:rPr>
      </w:pPr>
      <w:r>
        <w:rPr>
          <w:rFonts w:ascii="仿宋_GB2312" w:eastAsia="仿宋_GB2312" w:hAnsi="方正仿宋_GBK" w:cs="方正仿宋_GBK" w:hint="eastAsia"/>
          <w:b/>
          <w:color w:val="000000" w:themeColor="text1"/>
          <w:sz w:val="32"/>
          <w:szCs w:val="32"/>
        </w:rPr>
        <w:t>（九）</w:t>
      </w:r>
      <w:r>
        <w:rPr>
          <w:rFonts w:ascii="仿宋_GB2312" w:eastAsia="仿宋_GB2312" w:hAnsi="方正仿宋_GBK" w:cs="方正仿宋_GBK" w:hint="eastAsia"/>
          <w:b/>
          <w:color w:val="000000"/>
          <w:sz w:val="32"/>
          <w:szCs w:val="32"/>
        </w:rPr>
        <w:t>国有资本经营预算财政拨款支出决算表</w:t>
      </w:r>
      <w:r>
        <w:rPr>
          <w:rFonts w:ascii="仿宋_GB2312" w:eastAsia="仿宋_GB2312" w:hAnsi="方正仿宋_GBK" w:cs="方正仿宋_GBK" w:hint="eastAsia"/>
          <w:b/>
          <w:color w:val="000000" w:themeColor="text1"/>
          <w:sz w:val="32"/>
          <w:szCs w:val="32"/>
        </w:rPr>
        <w:t>（公开09表）</w:t>
      </w:r>
    </w:p>
    <w:p w:rsidR="00FE0178" w:rsidRDefault="0025139C" w:rsidP="00C11D92">
      <w:pPr>
        <w:snapToGrid w:val="0"/>
        <w:spacing w:line="360" w:lineRule="auto"/>
        <w:ind w:firstLineChars="200" w:firstLine="640"/>
        <w:outlineLvl w:val="0"/>
        <w:rPr>
          <w:rFonts w:ascii="仿宋" w:eastAsia="仿宋" w:hAnsi="仿宋" w:cs="仿宋"/>
          <w:sz w:val="32"/>
          <w:szCs w:val="32"/>
        </w:rPr>
      </w:pPr>
      <w:r>
        <w:rPr>
          <w:rFonts w:ascii="仿宋_GB2312" w:eastAsia="仿宋_GB2312" w:hAnsi="方正仿宋_GBK" w:cs="方正仿宋_GBK" w:hint="eastAsia"/>
          <w:color w:val="000000" w:themeColor="text1"/>
          <w:sz w:val="32"/>
          <w:szCs w:val="32"/>
        </w:rPr>
        <w:t>本单位2020年度无</w:t>
      </w:r>
      <w:r>
        <w:rPr>
          <w:rFonts w:ascii="仿宋_GB2312" w:eastAsia="仿宋_GB2312" w:hAnsi="方正仿宋_GBK" w:cs="方正仿宋_GBK" w:hint="eastAsia"/>
          <w:bCs/>
          <w:color w:val="000000"/>
          <w:sz w:val="32"/>
          <w:szCs w:val="32"/>
        </w:rPr>
        <w:t>国有资本经营预算财政拨款支出</w:t>
      </w:r>
      <w:r>
        <w:rPr>
          <w:rFonts w:ascii="仿宋_GB2312" w:eastAsia="仿宋_GB2312" w:hAnsi="方正仿宋_GBK" w:cs="方正仿宋_GBK" w:hint="eastAsia"/>
          <w:bCs/>
          <w:color w:val="000000" w:themeColor="text1"/>
          <w:sz w:val="32"/>
          <w:szCs w:val="32"/>
        </w:rPr>
        <w:t>。</w:t>
      </w:r>
    </w:p>
    <w:p w:rsidR="00FE0178" w:rsidRDefault="0025139C" w:rsidP="00C11D92">
      <w:pPr>
        <w:numPr>
          <w:ilvl w:val="0"/>
          <w:numId w:val="2"/>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关于“三公”经费支出说明</w:t>
      </w:r>
    </w:p>
    <w:p w:rsidR="000F0597" w:rsidRPr="000F0597" w:rsidRDefault="000F0597" w:rsidP="000F0597">
      <w:pPr>
        <w:tabs>
          <w:tab w:val="left" w:pos="720"/>
          <w:tab w:val="left" w:pos="900"/>
        </w:tabs>
        <w:spacing w:line="360" w:lineRule="auto"/>
        <w:ind w:firstLineChars="200" w:firstLine="640"/>
        <w:rPr>
          <w:rFonts w:ascii="仿宋_GB2312" w:eastAsia="仿宋_GB2312" w:hAnsi="方正仿宋_GBK" w:cs="方正仿宋_GBK"/>
          <w:color w:val="000000" w:themeColor="text1"/>
          <w:sz w:val="32"/>
          <w:szCs w:val="32"/>
        </w:rPr>
      </w:pPr>
      <w:r w:rsidRPr="000F0597">
        <w:rPr>
          <w:rFonts w:ascii="仿宋_GB2312" w:eastAsia="仿宋_GB2312" w:hAnsi="方正仿宋_GBK" w:cs="方正仿宋_GBK" w:hint="eastAsia"/>
          <w:color w:val="000000" w:themeColor="text1"/>
          <w:sz w:val="32"/>
          <w:szCs w:val="32"/>
        </w:rPr>
        <w:t>本单位2020年度财政拨款“三公”经费支出决算4.27万元，</w:t>
      </w:r>
      <w:r w:rsidRPr="000F0597">
        <w:rPr>
          <w:rFonts w:ascii="仿宋_GB2312" w:eastAsia="仿宋_GB2312" w:hAnsi="方正仿宋_GBK" w:cs="方正仿宋_GBK" w:hint="eastAsia"/>
          <w:color w:val="000000" w:themeColor="text1"/>
          <w:sz w:val="32"/>
          <w:szCs w:val="32"/>
        </w:rPr>
        <w:lastRenderedPageBreak/>
        <w:t>同年初预算比较减少4.27万元</w:t>
      </w:r>
      <w:r w:rsidRPr="000F0597">
        <w:rPr>
          <w:rFonts w:ascii="仿宋_GB2312" w:eastAsia="仿宋_GB2312" w:hAnsi="方正仿宋_GBK" w:cs="方正仿宋_GBK" w:hint="eastAsia"/>
          <w:sz w:val="32"/>
          <w:szCs w:val="32"/>
        </w:rPr>
        <w:t>；</w:t>
      </w:r>
      <w:r w:rsidRPr="000F0597">
        <w:rPr>
          <w:rFonts w:ascii="仿宋_GB2312" w:eastAsia="仿宋_GB2312" w:hAnsi="方正仿宋_GBK" w:cs="方正仿宋_GBK" w:hint="eastAsia"/>
          <w:color w:val="000000" w:themeColor="text1"/>
          <w:sz w:val="32"/>
          <w:szCs w:val="32"/>
        </w:rPr>
        <w:t>同上年度支出决算数比较减少7.27万元，主要原因：</w:t>
      </w:r>
      <w:r w:rsidRPr="000F0597">
        <w:rPr>
          <w:rFonts w:ascii="仿宋_GB2312" w:eastAsia="仿宋_GB2312" w:hAnsi="方正仿宋_GBK" w:cs="方正仿宋_GBK" w:hint="eastAsia"/>
          <w:b/>
          <w:bCs/>
          <w:sz w:val="32"/>
          <w:szCs w:val="32"/>
        </w:rPr>
        <w:t>一是</w:t>
      </w:r>
      <w:r w:rsidRPr="000F0597">
        <w:rPr>
          <w:rFonts w:ascii="仿宋_GB2312" w:eastAsia="仿宋_GB2312" w:hAnsi="方正仿宋_GBK" w:cs="方正仿宋_GBK" w:hint="eastAsia"/>
          <w:sz w:val="32"/>
          <w:szCs w:val="32"/>
        </w:rPr>
        <w:t>受疫情影响，“三公”经费减少；</w:t>
      </w:r>
      <w:r w:rsidRPr="000F0597">
        <w:rPr>
          <w:rFonts w:ascii="仿宋_GB2312" w:eastAsia="仿宋_GB2312" w:hAnsi="方正仿宋_GBK" w:cs="方正仿宋_GBK" w:hint="eastAsia"/>
          <w:b/>
          <w:bCs/>
          <w:sz w:val="32"/>
          <w:szCs w:val="32"/>
        </w:rPr>
        <w:t>二</w:t>
      </w:r>
      <w:r w:rsidRPr="000F0597">
        <w:rPr>
          <w:rFonts w:ascii="仿宋_GB2312" w:eastAsia="仿宋_GB2312" w:hAnsi="方正仿宋_GBK" w:cs="方正仿宋_GBK" w:hint="eastAsia"/>
          <w:b/>
          <w:bCs/>
          <w:color w:val="000000"/>
          <w:sz w:val="32"/>
          <w:szCs w:val="32"/>
        </w:rPr>
        <w:t>是</w:t>
      </w:r>
      <w:r w:rsidRPr="000F0597">
        <w:rPr>
          <w:rFonts w:ascii="仿宋_GB2312" w:eastAsia="仿宋_GB2312" w:hAnsi="方正仿宋_GBK" w:cs="方正仿宋_GBK" w:hint="eastAsia"/>
          <w:color w:val="000000"/>
          <w:sz w:val="32"/>
          <w:szCs w:val="32"/>
        </w:rPr>
        <w:t>落实过“苦日子”要求，</w:t>
      </w:r>
      <w:r w:rsidRPr="000F0597">
        <w:rPr>
          <w:rFonts w:ascii="仿宋_GB2312" w:eastAsia="仿宋_GB2312" w:hAnsi="方正仿宋_GBK" w:cs="方正仿宋_GBK" w:hint="eastAsia"/>
          <w:sz w:val="32"/>
          <w:szCs w:val="32"/>
        </w:rPr>
        <w:t>压减一般性支出等</w:t>
      </w:r>
      <w:r w:rsidRPr="000F0597">
        <w:rPr>
          <w:rFonts w:ascii="仿宋_GB2312" w:eastAsia="仿宋_GB2312" w:hAnsi="方正仿宋_GBK" w:cs="方正仿宋_GBK" w:hint="eastAsia"/>
          <w:color w:val="000000"/>
          <w:sz w:val="32"/>
          <w:szCs w:val="32"/>
        </w:rPr>
        <w:t>。</w:t>
      </w:r>
    </w:p>
    <w:p w:rsidR="000F0597" w:rsidRDefault="0025139C" w:rsidP="00C11D92">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其中公务用车运行维护费2.36万元，</w:t>
      </w:r>
      <w:r w:rsidR="0009529C">
        <w:rPr>
          <w:rFonts w:ascii="仿宋" w:eastAsia="仿宋" w:hAnsi="仿宋" w:cs="仿宋" w:hint="eastAsia"/>
          <w:sz w:val="32"/>
          <w:szCs w:val="32"/>
        </w:rPr>
        <w:t>较上年决算3.64万元，减少1.28万元，降幅35.15% ；</w:t>
      </w:r>
      <w:r w:rsidR="000F0597">
        <w:rPr>
          <w:rFonts w:ascii="仿宋" w:eastAsia="仿宋" w:hAnsi="仿宋" w:cs="仿宋" w:hint="eastAsia"/>
          <w:sz w:val="32"/>
          <w:szCs w:val="32"/>
        </w:rPr>
        <w:t>较年初公务用车运行维护费预算4.6万元，减少了2.24万元，降幅48.7%</w:t>
      </w:r>
      <w:r w:rsidR="0009529C">
        <w:rPr>
          <w:rFonts w:ascii="仿宋" w:eastAsia="仿宋" w:hAnsi="仿宋" w:cs="仿宋" w:hint="eastAsia"/>
          <w:sz w:val="32"/>
          <w:szCs w:val="32"/>
        </w:rPr>
        <w:t>。主要原因：受疫情影响以及按要求压减“三公“经费。</w:t>
      </w:r>
    </w:p>
    <w:p w:rsidR="0009529C" w:rsidRDefault="0025139C" w:rsidP="000F0597">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公务接待费1.91万元，</w:t>
      </w:r>
      <w:r w:rsidR="0009529C">
        <w:rPr>
          <w:rFonts w:ascii="仿宋" w:eastAsia="仿宋" w:hAnsi="仿宋" w:cs="仿宋" w:hint="eastAsia"/>
          <w:sz w:val="32"/>
          <w:szCs w:val="32"/>
        </w:rPr>
        <w:t>较上年决算5.99万元，减少4.08万元，降幅68.11%；</w:t>
      </w:r>
      <w:r w:rsidR="000F0597">
        <w:rPr>
          <w:rFonts w:ascii="仿宋" w:eastAsia="仿宋" w:hAnsi="仿宋" w:cs="仿宋" w:hint="eastAsia"/>
          <w:sz w:val="32"/>
          <w:szCs w:val="32"/>
        </w:rPr>
        <w:t>较年初预算</w:t>
      </w:r>
      <w:r>
        <w:rPr>
          <w:rFonts w:ascii="仿宋" w:eastAsia="仿宋" w:hAnsi="仿宋" w:cs="仿宋" w:hint="eastAsia"/>
          <w:sz w:val="32"/>
          <w:szCs w:val="32"/>
        </w:rPr>
        <w:t>4.5万元，</w:t>
      </w:r>
      <w:r w:rsidR="000F0597">
        <w:rPr>
          <w:rFonts w:ascii="仿宋" w:eastAsia="仿宋" w:hAnsi="仿宋" w:cs="仿宋" w:hint="eastAsia"/>
          <w:sz w:val="32"/>
          <w:szCs w:val="32"/>
        </w:rPr>
        <w:t>减少2.59万元，降幅57.56%</w:t>
      </w:r>
      <w:r w:rsidR="0009529C">
        <w:rPr>
          <w:rFonts w:ascii="仿宋" w:eastAsia="仿宋" w:hAnsi="仿宋" w:cs="仿宋" w:hint="eastAsia"/>
          <w:sz w:val="32"/>
          <w:szCs w:val="32"/>
        </w:rPr>
        <w:t>。</w:t>
      </w:r>
      <w:r w:rsidR="0009529C" w:rsidRPr="0089216C">
        <w:rPr>
          <w:rFonts w:ascii="仿宋_GB2312" w:eastAsia="仿宋_GB2312" w:hAnsi="方正仿宋_GBK" w:cs="方正仿宋_GBK" w:hint="eastAsia"/>
          <w:sz w:val="32"/>
          <w:szCs w:val="32"/>
        </w:rPr>
        <w:t>主要原因是：</w:t>
      </w:r>
      <w:r w:rsidR="0009529C">
        <w:rPr>
          <w:rFonts w:ascii="仿宋_GB2312" w:eastAsia="仿宋_GB2312" w:hAnsi="方正仿宋_GBK" w:cs="方正仿宋_GBK" w:hint="eastAsia"/>
          <w:sz w:val="32"/>
          <w:szCs w:val="32"/>
        </w:rPr>
        <w:t>受疫情影响以及</w:t>
      </w:r>
      <w:r w:rsidR="0009529C" w:rsidRPr="0089216C">
        <w:rPr>
          <w:rFonts w:ascii="仿宋_GB2312" w:eastAsia="仿宋_GB2312" w:hAnsi="方正仿宋_GBK" w:cs="方正仿宋_GBK" w:hint="eastAsia"/>
          <w:sz w:val="32"/>
          <w:szCs w:val="32"/>
        </w:rPr>
        <w:t>严格控制“三公”经费，大力压缩公务接待费</w:t>
      </w:r>
      <w:r w:rsidR="0009529C">
        <w:rPr>
          <w:rFonts w:ascii="仿宋_GB2312" w:eastAsia="仿宋_GB2312" w:hAnsi="方正仿宋_GBK" w:cs="方正仿宋_GBK" w:hint="eastAsia"/>
          <w:sz w:val="32"/>
          <w:szCs w:val="32"/>
        </w:rPr>
        <w:t>。</w:t>
      </w:r>
    </w:p>
    <w:p w:rsidR="000F0597" w:rsidRDefault="000F0597" w:rsidP="000F0597">
      <w:pPr>
        <w:pStyle w:val="BodyText"/>
        <w:spacing w:line="360" w:lineRule="auto"/>
        <w:ind w:firstLineChars="200" w:firstLine="640"/>
        <w:rPr>
          <w:rFonts w:ascii="仿宋" w:eastAsia="仿宋" w:hAnsi="仿宋" w:cs="仿宋"/>
          <w:sz w:val="32"/>
          <w:szCs w:val="32"/>
        </w:rPr>
      </w:pPr>
      <w:r w:rsidRPr="000F0597">
        <w:rPr>
          <w:rFonts w:ascii="仿宋" w:eastAsia="仿宋" w:hAnsi="仿宋" w:cs="仿宋" w:hint="eastAsia"/>
          <w:sz w:val="32"/>
          <w:szCs w:val="32"/>
        </w:rPr>
        <w:t>因公出国（境）团组数及人数：2020年因公出国（境）团组数0个，因公出国（境）团人数0人。</w:t>
      </w:r>
    </w:p>
    <w:p w:rsidR="0009529C" w:rsidRDefault="0009529C" w:rsidP="0009529C">
      <w:pPr>
        <w:ind w:firstLineChars="250" w:firstLine="800"/>
        <w:rPr>
          <w:rFonts w:ascii="仿宋_GB2312" w:eastAsia="仿宋_GB2312" w:hAnsi="方正仿宋_GBK" w:cs="方正仿宋_GBK"/>
          <w:sz w:val="32"/>
          <w:szCs w:val="32"/>
        </w:rPr>
      </w:pPr>
      <w:r w:rsidRPr="0089216C">
        <w:rPr>
          <w:rFonts w:ascii="仿宋_GB2312" w:eastAsia="仿宋_GB2312" w:hAnsi="方正仿宋_GBK" w:cs="方正仿宋_GBK" w:hint="eastAsia"/>
          <w:sz w:val="32"/>
          <w:szCs w:val="32"/>
        </w:rPr>
        <w:t>全年公务接待计</w:t>
      </w:r>
      <w:r>
        <w:rPr>
          <w:rFonts w:ascii="仿宋_GB2312" w:eastAsia="仿宋_GB2312" w:hAnsi="方正仿宋_GBK" w:cs="方正仿宋_GBK" w:hint="eastAsia"/>
          <w:sz w:val="32"/>
          <w:szCs w:val="32"/>
        </w:rPr>
        <w:t>43</w:t>
      </w:r>
      <w:r w:rsidRPr="0089216C">
        <w:rPr>
          <w:rFonts w:ascii="仿宋_GB2312" w:eastAsia="仿宋_GB2312" w:hAnsi="方正仿宋_GBK" w:cs="方正仿宋_GBK" w:hint="eastAsia"/>
          <w:sz w:val="32"/>
          <w:szCs w:val="32"/>
        </w:rPr>
        <w:t>批次，接待</w:t>
      </w:r>
      <w:r>
        <w:rPr>
          <w:rFonts w:ascii="仿宋_GB2312" w:eastAsia="仿宋_GB2312" w:hAnsi="方正仿宋_GBK" w:cs="方正仿宋_GBK" w:hint="eastAsia"/>
          <w:sz w:val="32"/>
          <w:szCs w:val="32"/>
        </w:rPr>
        <w:t>252</w:t>
      </w:r>
      <w:r w:rsidRPr="0089216C">
        <w:rPr>
          <w:rFonts w:ascii="仿宋_GB2312" w:eastAsia="仿宋_GB2312" w:hAnsi="方正仿宋_GBK" w:cs="方正仿宋_GBK" w:hint="eastAsia"/>
          <w:sz w:val="32"/>
          <w:szCs w:val="32"/>
        </w:rPr>
        <w:t>人次，人均接待标准</w:t>
      </w:r>
      <w:r>
        <w:rPr>
          <w:rFonts w:ascii="仿宋_GB2312" w:eastAsia="仿宋_GB2312" w:hAnsi="方正仿宋_GBK" w:cs="方正仿宋_GBK" w:hint="eastAsia"/>
          <w:sz w:val="32"/>
          <w:szCs w:val="32"/>
        </w:rPr>
        <w:t>75.79</w:t>
      </w:r>
      <w:r w:rsidRPr="0089216C">
        <w:rPr>
          <w:rFonts w:ascii="仿宋_GB2312" w:eastAsia="仿宋_GB2312" w:hAnsi="方正仿宋_GBK" w:cs="方正仿宋_GBK" w:hint="eastAsia"/>
          <w:sz w:val="32"/>
          <w:szCs w:val="32"/>
        </w:rPr>
        <w:t>元。</w:t>
      </w:r>
    </w:p>
    <w:p w:rsidR="0009529C" w:rsidRPr="0009529C" w:rsidRDefault="0009529C" w:rsidP="0009529C">
      <w:pPr>
        <w:pStyle w:val="BodyText"/>
        <w:ind w:firstLineChars="200" w:firstLine="640"/>
      </w:pPr>
      <w:r w:rsidRPr="009328BD">
        <w:rPr>
          <w:rFonts w:ascii="仿宋_GB2312" w:eastAsia="仿宋_GB2312" w:hAnsi="方正仿宋_GBK" w:cs="方正仿宋_GBK" w:hint="eastAsia"/>
          <w:sz w:val="32"/>
          <w:szCs w:val="32"/>
        </w:rPr>
        <w:t>2020年公务用车保有量</w:t>
      </w:r>
      <w:r>
        <w:rPr>
          <w:rFonts w:ascii="仿宋_GB2312" w:eastAsia="仿宋_GB2312" w:hAnsi="方正仿宋_GBK" w:cs="方正仿宋_GBK" w:hint="eastAsia"/>
          <w:sz w:val="32"/>
          <w:szCs w:val="32"/>
        </w:rPr>
        <w:t>6</w:t>
      </w:r>
      <w:r w:rsidRPr="009328BD">
        <w:rPr>
          <w:rFonts w:ascii="仿宋_GB2312" w:eastAsia="仿宋_GB2312" w:hAnsi="方正仿宋_GBK" w:cs="方正仿宋_GBK" w:hint="eastAsia"/>
          <w:sz w:val="32"/>
          <w:szCs w:val="32"/>
        </w:rPr>
        <w:t>辆（含特种专业技术用车等）</w:t>
      </w:r>
      <w:r>
        <w:rPr>
          <w:rFonts w:ascii="仿宋_GB2312" w:eastAsia="仿宋_GB2312" w:hAnsi="方正仿宋_GBK" w:cs="方正仿宋_GBK" w:hint="eastAsia"/>
          <w:sz w:val="32"/>
          <w:szCs w:val="32"/>
        </w:rPr>
        <w:t>。</w:t>
      </w:r>
    </w:p>
    <w:p w:rsidR="00FE0178" w:rsidRDefault="000F0597" w:rsidP="000F0597">
      <w:pPr>
        <w:pStyle w:val="BodyText"/>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w:t>
      </w:r>
      <w:r w:rsidRPr="000F0597">
        <w:rPr>
          <w:rFonts w:ascii="黑体" w:eastAsia="黑体" w:hAnsi="黑体" w:cs="黑体" w:hint="eastAsia"/>
          <w:sz w:val="32"/>
          <w:szCs w:val="32"/>
        </w:rPr>
        <w:t>、</w:t>
      </w:r>
      <w:r w:rsidR="0025139C">
        <w:rPr>
          <w:rFonts w:ascii="黑体" w:eastAsia="黑体" w:hAnsi="黑体" w:cs="黑体" w:hint="eastAsia"/>
          <w:sz w:val="32"/>
          <w:szCs w:val="32"/>
        </w:rPr>
        <w:t>关于机关运行经费支出说明</w:t>
      </w:r>
    </w:p>
    <w:p w:rsidR="00FE0178" w:rsidRDefault="0025139C" w:rsidP="00C11D92">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2020年机关运行经费支出397.61万元，其中人员经费支出375.2万元，公用经费支出22.41万元，比年初预算数减少1.59万元。</w:t>
      </w:r>
      <w:r w:rsidR="0009529C" w:rsidRPr="0089216C">
        <w:rPr>
          <w:rFonts w:ascii="仿宋_GB2312" w:eastAsia="仿宋_GB2312" w:hAnsi="方正仿宋_GBK" w:cs="方正仿宋_GBK" w:hint="eastAsia"/>
          <w:sz w:val="32"/>
          <w:szCs w:val="32"/>
        </w:rPr>
        <w:t>主要原因</w:t>
      </w:r>
      <w:r w:rsidR="0009529C">
        <w:rPr>
          <w:rFonts w:ascii="仿宋_GB2312" w:eastAsia="仿宋_GB2312" w:hAnsi="方正仿宋_GBK" w:cs="方正仿宋_GBK" w:hint="eastAsia"/>
          <w:sz w:val="32"/>
          <w:szCs w:val="32"/>
        </w:rPr>
        <w:t>按要求</w:t>
      </w:r>
      <w:r w:rsidR="0009529C" w:rsidRPr="0089216C">
        <w:rPr>
          <w:rFonts w:ascii="仿宋_GB2312" w:eastAsia="仿宋_GB2312" w:hAnsi="方正仿宋_GBK" w:cs="方正仿宋_GBK" w:hint="eastAsia"/>
          <w:sz w:val="32"/>
          <w:szCs w:val="32"/>
        </w:rPr>
        <w:t>压减一般性支出。</w:t>
      </w:r>
    </w:p>
    <w:p w:rsidR="00FE0178" w:rsidRDefault="000F0597" w:rsidP="000F059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w:t>
      </w:r>
      <w:r w:rsidR="0025139C">
        <w:rPr>
          <w:rFonts w:ascii="黑体" w:eastAsia="黑体" w:hAnsi="黑体" w:cs="黑体" w:hint="eastAsia"/>
          <w:sz w:val="32"/>
          <w:szCs w:val="32"/>
        </w:rPr>
        <w:t>关于政府采购支出说明</w:t>
      </w:r>
    </w:p>
    <w:p w:rsidR="00FE0178" w:rsidRDefault="0025139C" w:rsidP="00C11D92">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2020年政府采购支出总额183.79万元，其中政府采购货物135.49万元，政府采购工程48.3万元，授予小微企业合同183.79万元，占政府采购支出总额的100%。</w:t>
      </w:r>
    </w:p>
    <w:p w:rsidR="00FE0178" w:rsidRDefault="0025139C" w:rsidP="00C11D92">
      <w:pPr>
        <w:numPr>
          <w:ilvl w:val="0"/>
          <w:numId w:val="2"/>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关于国有资产占用情况说明</w:t>
      </w:r>
    </w:p>
    <w:p w:rsidR="00FE0178" w:rsidRDefault="0025139C" w:rsidP="00C82EDE">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截止2020年12月31日，分局共有车辆4辆为特种专业技术用车，单位价值50万以上的通用设备2台。</w:t>
      </w:r>
    </w:p>
    <w:p w:rsidR="00FE0178" w:rsidRDefault="0025139C" w:rsidP="00C82EDE">
      <w:pPr>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八、其他需要说明情况的事项</w:t>
      </w:r>
    </w:p>
    <w:p w:rsidR="00FE0178" w:rsidRDefault="0025139C" w:rsidP="00C82EDE">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无</w:t>
      </w:r>
    </w:p>
    <w:p w:rsidR="00FE0178" w:rsidRDefault="0025139C" w:rsidP="00C82EDE">
      <w:pPr>
        <w:adjustRightInd w:val="0"/>
        <w:snapToGrid w:val="0"/>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九、关于</w:t>
      </w:r>
      <w:r>
        <w:rPr>
          <w:rFonts w:ascii="黑体" w:eastAsia="黑体" w:hAnsi="黑体" w:cs="黑体" w:hint="eastAsia"/>
          <w:sz w:val="32"/>
          <w:szCs w:val="32"/>
        </w:rPr>
        <w:t>2020年度预算</w:t>
      </w:r>
      <w:r>
        <w:rPr>
          <w:rFonts w:ascii="黑体" w:eastAsia="黑体" w:hAnsi="黑体" w:cs="黑体" w:hint="eastAsia"/>
          <w:bCs/>
          <w:sz w:val="32"/>
          <w:szCs w:val="32"/>
        </w:rPr>
        <w:t>绩效</w:t>
      </w:r>
      <w:r>
        <w:rPr>
          <w:rFonts w:ascii="黑体" w:eastAsia="黑体" w:hAnsi="黑体" w:cs="黑体" w:hint="eastAsia"/>
          <w:sz w:val="32"/>
          <w:szCs w:val="32"/>
        </w:rPr>
        <w:t>情况</w:t>
      </w:r>
      <w:r>
        <w:rPr>
          <w:rFonts w:ascii="黑体" w:eastAsia="黑体" w:hAnsi="黑体" w:cs="黑体" w:hint="eastAsia"/>
          <w:bCs/>
          <w:sz w:val="32"/>
          <w:szCs w:val="32"/>
        </w:rPr>
        <w:t>说明</w:t>
      </w:r>
    </w:p>
    <w:p w:rsidR="00FE0178" w:rsidRDefault="0025139C" w:rsidP="00C82EDE">
      <w:pPr>
        <w:adjustRightInd w:val="0"/>
        <w:snapToGrid w:val="0"/>
        <w:spacing w:line="360" w:lineRule="auto"/>
        <w:ind w:firstLineChars="213" w:firstLine="682"/>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（一）预算绩效管理工作开展情况</w:t>
      </w:r>
    </w:p>
    <w:p w:rsidR="00FE0178" w:rsidRDefault="0025139C" w:rsidP="00C82EDE">
      <w:pPr>
        <w:adjustRightInd w:val="0"/>
        <w:snapToGrid w:val="0"/>
        <w:spacing w:line="360" w:lineRule="auto"/>
        <w:ind w:firstLine="555"/>
        <w:rPr>
          <w:rFonts w:ascii="仿宋" w:eastAsia="仿宋" w:hAnsi="仿宋" w:cs="仿宋"/>
          <w:sz w:val="32"/>
          <w:szCs w:val="32"/>
        </w:rPr>
      </w:pPr>
      <w:r>
        <w:rPr>
          <w:rFonts w:ascii="仿宋" w:eastAsia="仿宋" w:hAnsi="仿宋" w:cs="仿宋" w:hint="eastAsia"/>
          <w:sz w:val="32"/>
          <w:szCs w:val="32"/>
        </w:rPr>
        <w:t>根据预算绩效管理要求，分局组织对2020年度一般公共预算项目支出全面开展绩效自评，涉及二级项目一个，金额376.97万元，占一般公共预算项目支出总额的100%。</w:t>
      </w:r>
    </w:p>
    <w:p w:rsidR="00FE0178" w:rsidRDefault="0025139C" w:rsidP="00C82EDE">
      <w:pPr>
        <w:adjustRightInd w:val="0"/>
        <w:snapToGrid w:val="0"/>
        <w:spacing w:line="360" w:lineRule="auto"/>
        <w:ind w:firstLineChars="200" w:firstLine="640"/>
        <w:outlineLvl w:val="0"/>
        <w:rPr>
          <w:rFonts w:ascii="仿宋" w:eastAsia="仿宋" w:hAnsi="仿宋" w:cs="仿宋"/>
          <w:sz w:val="32"/>
          <w:szCs w:val="32"/>
        </w:rPr>
      </w:pPr>
      <w:r>
        <w:rPr>
          <w:rFonts w:ascii="仿宋" w:eastAsia="仿宋" w:hAnsi="仿宋" w:cs="仿宋" w:hint="eastAsia"/>
          <w:sz w:val="32"/>
          <w:szCs w:val="32"/>
        </w:rPr>
        <w:t>从评价情况来看，项目立项规范，全部编制了绩效目标且指标设置基本合理；资金到位及时，项目管理规范，制度执行有效，财务制度完善，资金使用合规；项目绩效目标在计划期间完成，其数量产出和质量产出基本符合预期目标；项目实施后有良好的社会效益；全部完成绩效自评，绩效目标编制和绩效自评覆盖率均为100%。</w:t>
      </w:r>
    </w:p>
    <w:p w:rsidR="00FE0178" w:rsidRDefault="0025139C" w:rsidP="00C11D92">
      <w:pPr>
        <w:snapToGrid w:val="0"/>
        <w:spacing w:line="360" w:lineRule="auto"/>
        <w:ind w:firstLineChars="200" w:firstLine="640"/>
        <w:outlineLvl w:val="0"/>
      </w:pPr>
      <w:r>
        <w:rPr>
          <w:rFonts w:ascii="仿宋" w:eastAsia="仿宋" w:hAnsi="仿宋" w:cs="仿宋" w:hint="eastAsia"/>
          <w:sz w:val="32"/>
          <w:szCs w:val="32"/>
        </w:rPr>
        <w:t>组织开展部门整体支出绩效评价，涉及资金783.73万元。从评价情况来看，绩效评价综合得分为</w:t>
      </w:r>
      <w:bookmarkStart w:id="0" w:name="_GoBack"/>
      <w:r>
        <w:rPr>
          <w:rFonts w:ascii="仿宋" w:eastAsia="仿宋" w:hAnsi="仿宋" w:cs="仿宋" w:hint="eastAsia"/>
          <w:color w:val="000000" w:themeColor="text1"/>
          <w:sz w:val="32"/>
          <w:szCs w:val="32"/>
        </w:rPr>
        <w:t>91.41</w:t>
      </w:r>
      <w:bookmarkEnd w:id="0"/>
      <w:r>
        <w:rPr>
          <w:rFonts w:ascii="仿宋" w:eastAsia="仿宋" w:hAnsi="仿宋" w:cs="仿宋" w:hint="eastAsia"/>
          <w:sz w:val="32"/>
          <w:szCs w:val="32"/>
        </w:rPr>
        <w:t>分，评价等级为优，基本完成年初设定的绩效目标。</w:t>
      </w:r>
    </w:p>
    <w:p w:rsidR="00FE0178" w:rsidRDefault="0025139C" w:rsidP="00C11D92">
      <w:pPr>
        <w:numPr>
          <w:ilvl w:val="0"/>
          <w:numId w:val="3"/>
        </w:numPr>
        <w:spacing w:line="360" w:lineRule="auto"/>
        <w:ind w:firstLineChars="213" w:firstLine="682"/>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部门决算中项目绩效自评结果</w:t>
      </w:r>
    </w:p>
    <w:p w:rsidR="00FE0178" w:rsidRDefault="0025139C" w:rsidP="00C11D92">
      <w:pPr>
        <w:pStyle w:val="BodyText"/>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棉花公证检验经费项目自评综述：项目全年预算数为586.57万元，执行数为376.97万元，结转156.61万元，执行64.27%，主要产出为完成棉花公证检验任务5万余吨，更新检验设备11台，改造纺织品检验实验室。发现问题及原因：一是因资金下达时间及棉花公证检验任务开始时间较晚，导致预算执行大多集中在四季度，执行速度滞后，二是预算编制准确性偏低。改进措施：一提前规划事业发展，提高预算的准确性和刚性约束。二是合理安排预算资金，提高预算执行速度。</w:t>
      </w:r>
    </w:p>
    <w:p w:rsidR="00FE0178" w:rsidRDefault="0025139C" w:rsidP="00A32229">
      <w:pPr>
        <w:spacing w:afterLines="50" w:line="560" w:lineRule="exact"/>
        <w:jc w:val="center"/>
        <w:rPr>
          <w:rFonts w:ascii="宋体" w:hAnsi="宋体"/>
          <w:b/>
          <w:sz w:val="32"/>
          <w:szCs w:val="32"/>
        </w:rPr>
      </w:pPr>
      <w:r>
        <w:rPr>
          <w:rFonts w:ascii="宋体" w:hAnsi="宋体"/>
          <w:b/>
          <w:sz w:val="32"/>
          <w:szCs w:val="32"/>
        </w:rPr>
        <w:t>20</w:t>
      </w:r>
      <w:r>
        <w:rPr>
          <w:rFonts w:ascii="宋体" w:hAnsi="宋体" w:hint="eastAsia"/>
          <w:b/>
          <w:sz w:val="32"/>
          <w:szCs w:val="32"/>
        </w:rPr>
        <w:t>20年棉花公证检验项目支出绩效自评表</w:t>
      </w:r>
    </w:p>
    <w:p w:rsidR="00FE0178" w:rsidRDefault="0025139C">
      <w:pPr>
        <w:rPr>
          <w:rFonts w:eastAsia="仿宋_GB2312"/>
          <w:sz w:val="28"/>
          <w:szCs w:val="28"/>
        </w:rPr>
      </w:pPr>
      <w:r>
        <w:rPr>
          <w:rFonts w:eastAsia="仿宋_GB2312"/>
          <w:sz w:val="28"/>
          <w:szCs w:val="28"/>
        </w:rPr>
        <w:t>填报</w:t>
      </w:r>
      <w:r>
        <w:rPr>
          <w:rFonts w:eastAsia="仿宋_GB2312" w:hint="eastAsia"/>
          <w:sz w:val="28"/>
          <w:szCs w:val="28"/>
        </w:rPr>
        <w:t>日期</w:t>
      </w:r>
      <w:r>
        <w:rPr>
          <w:rFonts w:eastAsia="仿宋_GB2312"/>
          <w:sz w:val="28"/>
          <w:szCs w:val="28"/>
        </w:rPr>
        <w:t>：</w:t>
      </w:r>
      <w:r>
        <w:rPr>
          <w:rFonts w:eastAsia="仿宋_GB2312" w:hint="eastAsia"/>
          <w:sz w:val="28"/>
          <w:szCs w:val="28"/>
        </w:rPr>
        <w:t>2021</w:t>
      </w:r>
      <w:r>
        <w:rPr>
          <w:rFonts w:eastAsia="仿宋_GB2312" w:hint="eastAsia"/>
          <w:sz w:val="28"/>
          <w:szCs w:val="28"/>
        </w:rPr>
        <w:t>年</w:t>
      </w:r>
      <w:r>
        <w:rPr>
          <w:rFonts w:eastAsia="仿宋_GB2312" w:hint="eastAsia"/>
          <w:sz w:val="28"/>
          <w:szCs w:val="28"/>
        </w:rPr>
        <w:t>5</w:t>
      </w:r>
      <w:r>
        <w:rPr>
          <w:rFonts w:eastAsia="仿宋_GB2312" w:hint="eastAsia"/>
          <w:sz w:val="28"/>
          <w:szCs w:val="28"/>
        </w:rPr>
        <w:t>月</w:t>
      </w:r>
      <w:r>
        <w:rPr>
          <w:rFonts w:eastAsia="仿宋_GB2312" w:hint="eastAsia"/>
          <w:sz w:val="28"/>
          <w:szCs w:val="28"/>
        </w:rPr>
        <w:t>20</w:t>
      </w:r>
      <w:r>
        <w:rPr>
          <w:rFonts w:eastAsia="仿宋_GB2312" w:hint="eastAsia"/>
          <w:sz w:val="28"/>
          <w:szCs w:val="28"/>
        </w:rPr>
        <w:t>日</w:t>
      </w:r>
      <w:r>
        <w:rPr>
          <w:rFonts w:eastAsia="仿宋_GB2312" w:hint="eastAsia"/>
          <w:sz w:val="28"/>
          <w:szCs w:val="28"/>
        </w:rPr>
        <w:t xml:space="preserve">                          </w:t>
      </w:r>
      <w:r>
        <w:rPr>
          <w:rFonts w:eastAsia="仿宋_GB2312" w:hint="eastAsia"/>
          <w:sz w:val="28"/>
          <w:szCs w:val="28"/>
        </w:rPr>
        <w:t>总分：</w:t>
      </w:r>
      <w:r>
        <w:rPr>
          <w:rFonts w:eastAsia="仿宋_GB2312" w:hint="eastAsia"/>
          <w:sz w:val="28"/>
          <w:szCs w:val="28"/>
        </w:rPr>
        <w:t>82</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4"/>
        <w:gridCol w:w="1530"/>
        <w:gridCol w:w="2550"/>
        <w:gridCol w:w="1721"/>
        <w:gridCol w:w="2134"/>
        <w:gridCol w:w="864"/>
      </w:tblGrid>
      <w:tr w:rsidR="00FE0178">
        <w:trPr>
          <w:trHeight w:val="398"/>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项目名称</w:t>
            </w:r>
          </w:p>
        </w:tc>
        <w:tc>
          <w:tcPr>
            <w:tcW w:w="8799" w:type="dxa"/>
            <w:gridSpan w:val="5"/>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棉花公证检验</w:t>
            </w:r>
          </w:p>
        </w:tc>
      </w:tr>
      <w:tr w:rsidR="00FE0178">
        <w:trPr>
          <w:trHeight w:val="398"/>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主管部门</w:t>
            </w:r>
          </w:p>
        </w:tc>
        <w:tc>
          <w:tcPr>
            <w:tcW w:w="4080" w:type="dxa"/>
            <w:gridSpan w:val="2"/>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湖北省纤维检验局</w:t>
            </w:r>
          </w:p>
        </w:tc>
        <w:tc>
          <w:tcPr>
            <w:tcW w:w="1721"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项目实施单位</w:t>
            </w:r>
          </w:p>
        </w:tc>
        <w:tc>
          <w:tcPr>
            <w:tcW w:w="2998" w:type="dxa"/>
            <w:gridSpan w:val="2"/>
            <w:vAlign w:val="center"/>
          </w:tcPr>
          <w:p w:rsidR="00FE0178" w:rsidRDefault="0025139C">
            <w:pPr>
              <w:spacing w:line="300" w:lineRule="exact"/>
              <w:ind w:firstLineChars="50" w:firstLine="105"/>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湖北省纤维检验局襄阳分局</w:t>
            </w:r>
          </w:p>
        </w:tc>
      </w:tr>
      <w:tr w:rsidR="00FE0178">
        <w:trPr>
          <w:trHeight w:val="398"/>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项目类别</w:t>
            </w:r>
          </w:p>
        </w:tc>
        <w:tc>
          <w:tcPr>
            <w:tcW w:w="8799" w:type="dxa"/>
            <w:gridSpan w:val="5"/>
            <w:vAlign w:val="center"/>
          </w:tcPr>
          <w:p w:rsidR="00FE0178" w:rsidRDefault="0025139C">
            <w:pPr>
              <w:widowControl/>
              <w:spacing w:line="3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√1.部门预算项目            2.省直专项          3. 省对下转移支付项目 </w:t>
            </w:r>
          </w:p>
        </w:tc>
      </w:tr>
      <w:tr w:rsidR="00FE0178">
        <w:trPr>
          <w:trHeight w:val="398"/>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项目属性</w:t>
            </w:r>
          </w:p>
        </w:tc>
        <w:tc>
          <w:tcPr>
            <w:tcW w:w="8799" w:type="dxa"/>
            <w:gridSpan w:val="5"/>
            <w:vAlign w:val="center"/>
          </w:tcPr>
          <w:p w:rsidR="00FE0178" w:rsidRDefault="0025139C">
            <w:pPr>
              <w:widowControl/>
              <w:spacing w:line="3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√1.持续性项目              2.新增性项目</w:t>
            </w:r>
          </w:p>
        </w:tc>
      </w:tr>
      <w:tr w:rsidR="00FE0178">
        <w:trPr>
          <w:trHeight w:val="375"/>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项目类型</w:t>
            </w:r>
          </w:p>
        </w:tc>
        <w:tc>
          <w:tcPr>
            <w:tcW w:w="8799" w:type="dxa"/>
            <w:gridSpan w:val="5"/>
            <w:vAlign w:val="center"/>
          </w:tcPr>
          <w:p w:rsidR="00FE0178" w:rsidRDefault="0025139C">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√1.常年性项目             2.延续性项目     </w:t>
            </w:r>
            <w:r>
              <w:rPr>
                <w:rFonts w:ascii="仿宋_GB2312" w:eastAsia="仿宋_GB2312" w:hAnsi="仿宋_GB2312" w:cs="仿宋_GB2312" w:hint="eastAsia"/>
                <w:color w:val="000000"/>
                <w:kern w:val="0"/>
                <w:szCs w:val="21"/>
              </w:rPr>
              <w:t xml:space="preserve">   3</w:t>
            </w:r>
            <w:r>
              <w:rPr>
                <w:rFonts w:ascii="仿宋_GB2312" w:eastAsia="仿宋_GB2312" w:hAnsi="仿宋_GB2312" w:cs="仿宋_GB2312" w:hint="eastAsia"/>
                <w:kern w:val="0"/>
                <w:szCs w:val="21"/>
              </w:rPr>
              <w:t>.一次性项目</w:t>
            </w:r>
          </w:p>
        </w:tc>
      </w:tr>
      <w:tr w:rsidR="00FE0178">
        <w:trPr>
          <w:trHeight w:val="525"/>
          <w:jc w:val="center"/>
        </w:trPr>
        <w:tc>
          <w:tcPr>
            <w:tcW w:w="1074" w:type="dxa"/>
            <w:vMerge w:val="restart"/>
            <w:vAlign w:val="center"/>
          </w:tcPr>
          <w:p w:rsidR="00FE0178" w:rsidRDefault="0025139C">
            <w:pPr>
              <w:widowControl/>
              <w:spacing w:line="300" w:lineRule="exact"/>
              <w:jc w:val="center"/>
              <w:rPr>
                <w:rFonts w:eastAsia="仿宋_GB2312"/>
                <w:kern w:val="0"/>
                <w:szCs w:val="21"/>
              </w:rPr>
            </w:pPr>
            <w:r>
              <w:rPr>
                <w:rFonts w:eastAsia="仿宋_GB2312" w:hint="eastAsia"/>
                <w:kern w:val="0"/>
                <w:szCs w:val="21"/>
              </w:rPr>
              <w:t>预算执行情况（万元）</w:t>
            </w:r>
          </w:p>
          <w:p w:rsidR="00FE0178" w:rsidRDefault="0025139C">
            <w:pPr>
              <w:widowControl/>
              <w:spacing w:line="300" w:lineRule="exact"/>
              <w:jc w:val="center"/>
              <w:rPr>
                <w:rFonts w:ascii="仿宋_GB2312" w:eastAsia="仿宋_GB2312" w:hAnsi="仿宋_GB2312" w:cs="仿宋_GB2312"/>
                <w:color w:val="000000"/>
                <w:kern w:val="0"/>
                <w:szCs w:val="21"/>
              </w:rPr>
            </w:pPr>
            <w:r>
              <w:rPr>
                <w:rFonts w:eastAsia="仿宋_GB2312" w:hint="eastAsia"/>
                <w:kern w:val="0"/>
                <w:szCs w:val="21"/>
              </w:rPr>
              <w:t>（</w:t>
            </w:r>
            <w:r>
              <w:rPr>
                <w:rFonts w:eastAsia="仿宋_GB2312" w:hint="eastAsia"/>
                <w:kern w:val="0"/>
                <w:szCs w:val="21"/>
              </w:rPr>
              <w:t>20</w:t>
            </w:r>
            <w:r>
              <w:rPr>
                <w:rFonts w:eastAsia="仿宋_GB2312" w:hint="eastAsia"/>
                <w:kern w:val="0"/>
                <w:szCs w:val="21"/>
              </w:rPr>
              <w:t>分）</w:t>
            </w:r>
          </w:p>
        </w:tc>
        <w:tc>
          <w:tcPr>
            <w:tcW w:w="1530" w:type="dxa"/>
            <w:vAlign w:val="center"/>
          </w:tcPr>
          <w:p w:rsidR="00FE0178" w:rsidRDefault="00FE0178">
            <w:pPr>
              <w:widowControl/>
              <w:spacing w:line="300" w:lineRule="exact"/>
              <w:jc w:val="left"/>
              <w:rPr>
                <w:rFonts w:ascii="仿宋_GB2312" w:eastAsia="仿宋_GB2312" w:hAnsi="仿宋_GB2312" w:cs="仿宋_GB2312"/>
                <w:kern w:val="0"/>
                <w:szCs w:val="21"/>
              </w:rPr>
            </w:pPr>
          </w:p>
        </w:tc>
        <w:tc>
          <w:tcPr>
            <w:tcW w:w="2550" w:type="dxa"/>
            <w:vAlign w:val="center"/>
          </w:tcPr>
          <w:p w:rsidR="00FE0178" w:rsidRDefault="0025139C">
            <w:pPr>
              <w:widowControl/>
              <w:spacing w:line="300" w:lineRule="exact"/>
              <w:jc w:val="center"/>
              <w:rPr>
                <w:rFonts w:ascii="仿宋_GB2312" w:eastAsia="仿宋_GB2312" w:hAnsi="仿宋_GB2312" w:cs="仿宋_GB2312"/>
                <w:kern w:val="0"/>
                <w:szCs w:val="21"/>
              </w:rPr>
            </w:pPr>
            <w:r>
              <w:rPr>
                <w:rFonts w:eastAsia="仿宋_GB2312" w:hint="eastAsia"/>
                <w:kern w:val="0"/>
                <w:szCs w:val="21"/>
              </w:rPr>
              <w:t>预算数（</w:t>
            </w:r>
            <w:r>
              <w:rPr>
                <w:rFonts w:eastAsia="仿宋_GB2312" w:hint="eastAsia"/>
                <w:kern w:val="0"/>
                <w:szCs w:val="21"/>
              </w:rPr>
              <w:t>A</w:t>
            </w:r>
            <w:r>
              <w:rPr>
                <w:rFonts w:eastAsia="仿宋_GB2312" w:hint="eastAsia"/>
                <w:kern w:val="0"/>
                <w:szCs w:val="21"/>
              </w:rPr>
              <w:t>）</w:t>
            </w:r>
          </w:p>
        </w:tc>
        <w:tc>
          <w:tcPr>
            <w:tcW w:w="1721" w:type="dxa"/>
            <w:vAlign w:val="center"/>
          </w:tcPr>
          <w:p w:rsidR="00FE0178" w:rsidRDefault="0025139C">
            <w:pPr>
              <w:widowControl/>
              <w:spacing w:line="300" w:lineRule="exact"/>
              <w:jc w:val="center"/>
              <w:rPr>
                <w:rFonts w:eastAsia="仿宋_GB2312"/>
                <w:kern w:val="0"/>
                <w:szCs w:val="21"/>
              </w:rPr>
            </w:pPr>
            <w:r>
              <w:rPr>
                <w:rFonts w:eastAsia="仿宋_GB2312" w:hint="eastAsia"/>
                <w:kern w:val="0"/>
                <w:szCs w:val="21"/>
              </w:rPr>
              <w:t>执行数（</w:t>
            </w:r>
            <w:r>
              <w:rPr>
                <w:rFonts w:eastAsia="仿宋_GB2312" w:hint="eastAsia"/>
                <w:kern w:val="0"/>
                <w:szCs w:val="21"/>
              </w:rPr>
              <w:t>B</w:t>
            </w:r>
            <w:r>
              <w:rPr>
                <w:rFonts w:eastAsia="仿宋_GB2312" w:hint="eastAsia"/>
                <w:kern w:val="0"/>
                <w:szCs w:val="21"/>
              </w:rPr>
              <w:t>）</w:t>
            </w:r>
          </w:p>
        </w:tc>
        <w:tc>
          <w:tcPr>
            <w:tcW w:w="2134" w:type="dxa"/>
            <w:vAlign w:val="center"/>
          </w:tcPr>
          <w:p w:rsidR="00FE0178" w:rsidRDefault="0025139C">
            <w:pPr>
              <w:widowControl/>
              <w:spacing w:line="300" w:lineRule="exact"/>
              <w:jc w:val="center"/>
              <w:rPr>
                <w:rFonts w:ascii="仿宋_GB2312" w:eastAsia="仿宋_GB2312" w:hAnsi="仿宋_GB2312" w:cs="仿宋_GB2312"/>
                <w:kern w:val="0"/>
                <w:szCs w:val="21"/>
              </w:rPr>
            </w:pPr>
            <w:r>
              <w:rPr>
                <w:rFonts w:eastAsia="仿宋_GB2312" w:hint="eastAsia"/>
                <w:kern w:val="0"/>
                <w:szCs w:val="21"/>
              </w:rPr>
              <w:t>执行率（</w:t>
            </w:r>
            <w:r>
              <w:rPr>
                <w:rFonts w:eastAsia="仿宋_GB2312" w:hint="eastAsia"/>
                <w:kern w:val="0"/>
                <w:szCs w:val="21"/>
              </w:rPr>
              <w:t>A/B</w:t>
            </w:r>
            <w:r>
              <w:rPr>
                <w:rFonts w:eastAsia="仿宋_GB2312" w:hint="eastAsia"/>
                <w:kern w:val="0"/>
                <w:szCs w:val="21"/>
              </w:rPr>
              <w:t>）</w:t>
            </w:r>
          </w:p>
        </w:tc>
        <w:tc>
          <w:tcPr>
            <w:tcW w:w="864" w:type="dxa"/>
            <w:vAlign w:val="center"/>
          </w:tcPr>
          <w:p w:rsidR="00FE0178" w:rsidRDefault="0025139C">
            <w:pPr>
              <w:widowControl/>
              <w:spacing w:line="300" w:lineRule="exact"/>
              <w:jc w:val="center"/>
              <w:rPr>
                <w:rFonts w:eastAsia="仿宋_GB2312"/>
                <w:kern w:val="0"/>
                <w:szCs w:val="21"/>
              </w:rPr>
            </w:pPr>
            <w:r>
              <w:rPr>
                <w:rFonts w:eastAsia="仿宋_GB2312" w:hint="eastAsia"/>
                <w:kern w:val="0"/>
                <w:szCs w:val="21"/>
              </w:rPr>
              <w:t>得分</w:t>
            </w:r>
          </w:p>
        </w:tc>
      </w:tr>
      <w:tr w:rsidR="00FE0178">
        <w:trPr>
          <w:trHeight w:val="525"/>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color w:val="000000"/>
                <w:kern w:val="0"/>
                <w:szCs w:val="21"/>
              </w:rPr>
            </w:pPr>
          </w:p>
        </w:tc>
        <w:tc>
          <w:tcPr>
            <w:tcW w:w="1530" w:type="dxa"/>
            <w:vAlign w:val="center"/>
          </w:tcPr>
          <w:p w:rsidR="00FE0178" w:rsidRDefault="0025139C">
            <w:pPr>
              <w:widowControl/>
              <w:spacing w:line="300" w:lineRule="exact"/>
              <w:jc w:val="center"/>
              <w:rPr>
                <w:rFonts w:ascii="仿宋_GB2312" w:eastAsia="仿宋_GB2312" w:hAnsi="仿宋_GB2312" w:cs="仿宋_GB2312"/>
                <w:kern w:val="0"/>
                <w:szCs w:val="21"/>
              </w:rPr>
            </w:pPr>
            <w:r>
              <w:rPr>
                <w:rFonts w:eastAsia="仿宋_GB2312" w:hint="eastAsia"/>
                <w:kern w:val="0"/>
                <w:szCs w:val="21"/>
              </w:rPr>
              <w:t>年度财政资金总额</w:t>
            </w:r>
          </w:p>
        </w:tc>
        <w:tc>
          <w:tcPr>
            <w:tcW w:w="2550" w:type="dxa"/>
            <w:vAlign w:val="center"/>
          </w:tcPr>
          <w:p w:rsidR="00FE0178" w:rsidRDefault="0025139C">
            <w:pPr>
              <w:widowControl/>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586.57</w:t>
            </w:r>
          </w:p>
        </w:tc>
        <w:tc>
          <w:tcPr>
            <w:tcW w:w="1721" w:type="dxa"/>
            <w:vAlign w:val="center"/>
          </w:tcPr>
          <w:p w:rsidR="00FE0178" w:rsidRDefault="0025139C">
            <w:pPr>
              <w:widowControl/>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376.97</w:t>
            </w:r>
          </w:p>
        </w:tc>
        <w:tc>
          <w:tcPr>
            <w:tcW w:w="2134" w:type="dxa"/>
            <w:vAlign w:val="center"/>
          </w:tcPr>
          <w:p w:rsidR="00FE0178" w:rsidRDefault="0025139C">
            <w:pPr>
              <w:widowControl/>
              <w:spacing w:line="30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64.27%</w:t>
            </w:r>
          </w:p>
        </w:tc>
        <w:tc>
          <w:tcPr>
            <w:tcW w:w="864" w:type="dxa"/>
            <w:vAlign w:val="center"/>
          </w:tcPr>
          <w:p w:rsidR="00FE0178" w:rsidRDefault="0025139C">
            <w:pPr>
              <w:widowControl/>
              <w:spacing w:line="30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32</w:t>
            </w:r>
          </w:p>
        </w:tc>
      </w:tr>
      <w:tr w:rsidR="00FE0178">
        <w:trPr>
          <w:trHeight w:hRule="exact" w:val="363"/>
          <w:jc w:val="center"/>
        </w:trPr>
        <w:tc>
          <w:tcPr>
            <w:tcW w:w="1074" w:type="dxa"/>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一级指标</w:t>
            </w: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二级指标</w:t>
            </w:r>
          </w:p>
        </w:tc>
        <w:tc>
          <w:tcPr>
            <w:tcW w:w="255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三级指标</w:t>
            </w:r>
          </w:p>
        </w:tc>
        <w:tc>
          <w:tcPr>
            <w:tcW w:w="1721"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年初目标值</w:t>
            </w:r>
          </w:p>
        </w:tc>
        <w:tc>
          <w:tcPr>
            <w:tcW w:w="213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实际完成值</w:t>
            </w:r>
          </w:p>
        </w:tc>
        <w:tc>
          <w:tcPr>
            <w:tcW w:w="86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分值</w:t>
            </w:r>
          </w:p>
        </w:tc>
      </w:tr>
      <w:tr w:rsidR="00FE0178" w:rsidTr="00C82EDE">
        <w:trPr>
          <w:trHeight w:hRule="exact" w:val="363"/>
          <w:jc w:val="center"/>
        </w:trPr>
        <w:tc>
          <w:tcPr>
            <w:tcW w:w="1074" w:type="dxa"/>
            <w:vMerge w:val="restart"/>
            <w:vAlign w:val="center"/>
          </w:tcPr>
          <w:p w:rsidR="00FE0178" w:rsidRDefault="0025139C">
            <w:pPr>
              <w:widowControl/>
              <w:spacing w:line="30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产出指标</w:t>
            </w:r>
          </w:p>
        </w:tc>
        <w:tc>
          <w:tcPr>
            <w:tcW w:w="1530" w:type="dxa"/>
            <w:shd w:val="clear" w:color="auto" w:fill="auto"/>
            <w:vAlign w:val="center"/>
          </w:tcPr>
          <w:p w:rsidR="00FE0178" w:rsidRPr="00C82EDE" w:rsidRDefault="0025139C">
            <w:pPr>
              <w:widowControl/>
              <w:spacing w:line="240" w:lineRule="exact"/>
              <w:jc w:val="center"/>
              <w:rPr>
                <w:rFonts w:ascii="仿宋_GB2312" w:eastAsia="仿宋_GB2312" w:hAnsi="仿宋_GB2312" w:cs="仿宋_GB2312"/>
                <w:kern w:val="0"/>
                <w:szCs w:val="21"/>
              </w:rPr>
            </w:pPr>
            <w:r w:rsidRPr="00C82EDE">
              <w:rPr>
                <w:rFonts w:ascii="仿宋_GB2312" w:eastAsia="仿宋_GB2312" w:hAnsi="仿宋_GB2312" w:cs="仿宋_GB2312" w:hint="eastAsia"/>
                <w:kern w:val="0"/>
                <w:szCs w:val="21"/>
              </w:rPr>
              <w:t>产出数量</w:t>
            </w:r>
          </w:p>
        </w:tc>
        <w:tc>
          <w:tcPr>
            <w:tcW w:w="2550" w:type="dxa"/>
            <w:vAlign w:val="center"/>
          </w:tcPr>
          <w:p w:rsidR="00FE0178" w:rsidRDefault="0025139C">
            <w:pPr>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棉花公证检验数量</w:t>
            </w:r>
          </w:p>
        </w:tc>
        <w:tc>
          <w:tcPr>
            <w:tcW w:w="1721" w:type="dxa"/>
            <w:vAlign w:val="center"/>
          </w:tcPr>
          <w:p w:rsidR="00FE0178" w:rsidRDefault="0025139C">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10000吨</w:t>
            </w:r>
          </w:p>
        </w:tc>
        <w:tc>
          <w:tcPr>
            <w:tcW w:w="2134" w:type="dxa"/>
            <w:vAlign w:val="center"/>
          </w:tcPr>
          <w:p w:rsidR="00FE0178" w:rsidRDefault="0025139C">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50000吨</w:t>
            </w:r>
          </w:p>
        </w:tc>
        <w:tc>
          <w:tcPr>
            <w:tcW w:w="864" w:type="dxa"/>
            <w:vAlign w:val="center"/>
          </w:tcPr>
          <w:p w:rsidR="00FE0178" w:rsidRDefault="0025139C">
            <w:pPr>
              <w:widowControl/>
              <w:jc w:val="center"/>
              <w:textAlignment w:val="center"/>
              <w:rPr>
                <w:rFonts w:ascii="仿宋_GB2312" w:eastAsia="仿宋_GB2312" w:hAnsi="仿宋_GB2312" w:cs="仿宋_GB2312"/>
                <w:kern w:val="0"/>
                <w:szCs w:val="21"/>
                <w:highlight w:val="yellow"/>
              </w:rPr>
            </w:pPr>
            <w:r>
              <w:rPr>
                <w:rFonts w:ascii="仿宋_GB2312" w:eastAsia="仿宋_GB2312" w:hAnsi="仿宋_GB2312" w:cs="仿宋_GB2312" w:hint="eastAsia"/>
                <w:kern w:val="0"/>
                <w:szCs w:val="21"/>
              </w:rPr>
              <w:t>12.5</w:t>
            </w:r>
          </w:p>
        </w:tc>
      </w:tr>
      <w:tr w:rsidR="00FE0178" w:rsidTr="00C82EDE">
        <w:trPr>
          <w:trHeight w:hRule="exact" w:val="363"/>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color w:val="000000"/>
                <w:kern w:val="0"/>
                <w:szCs w:val="21"/>
              </w:rPr>
            </w:pPr>
          </w:p>
        </w:tc>
        <w:tc>
          <w:tcPr>
            <w:tcW w:w="1530" w:type="dxa"/>
            <w:shd w:val="clear" w:color="auto" w:fill="auto"/>
            <w:vAlign w:val="center"/>
          </w:tcPr>
          <w:p w:rsidR="00FE0178" w:rsidRPr="00C82EDE" w:rsidRDefault="0025139C">
            <w:pPr>
              <w:widowControl/>
              <w:spacing w:line="240" w:lineRule="exact"/>
              <w:jc w:val="center"/>
              <w:rPr>
                <w:rFonts w:ascii="仿宋_GB2312" w:eastAsia="仿宋_GB2312" w:hAnsi="仿宋_GB2312" w:cs="仿宋_GB2312"/>
                <w:kern w:val="0"/>
                <w:szCs w:val="21"/>
              </w:rPr>
            </w:pPr>
            <w:r w:rsidRPr="00C82EDE">
              <w:rPr>
                <w:rFonts w:ascii="仿宋_GB2312" w:eastAsia="仿宋_GB2312" w:hAnsi="仿宋_GB2312" w:cs="仿宋_GB2312" w:hint="eastAsia"/>
                <w:kern w:val="0"/>
                <w:szCs w:val="21"/>
              </w:rPr>
              <w:t>产出数量</w:t>
            </w:r>
          </w:p>
        </w:tc>
        <w:tc>
          <w:tcPr>
            <w:tcW w:w="2550" w:type="dxa"/>
            <w:vAlign w:val="center"/>
          </w:tcPr>
          <w:p w:rsidR="00FE0178" w:rsidRDefault="0025139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更新仪器设备数量</w:t>
            </w:r>
          </w:p>
        </w:tc>
        <w:tc>
          <w:tcPr>
            <w:tcW w:w="1721"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213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86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12.5</w:t>
            </w:r>
          </w:p>
        </w:tc>
      </w:tr>
      <w:tr w:rsidR="00FE0178" w:rsidTr="00C82EDE">
        <w:trPr>
          <w:trHeight w:hRule="exact" w:val="802"/>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color w:val="000000"/>
                <w:kern w:val="0"/>
                <w:szCs w:val="21"/>
              </w:rPr>
            </w:pPr>
          </w:p>
        </w:tc>
        <w:tc>
          <w:tcPr>
            <w:tcW w:w="1530" w:type="dxa"/>
            <w:shd w:val="clear" w:color="auto" w:fill="auto"/>
            <w:vAlign w:val="center"/>
          </w:tcPr>
          <w:p w:rsidR="00FE0178" w:rsidRPr="00C82EDE" w:rsidRDefault="0025139C">
            <w:pPr>
              <w:widowControl/>
              <w:spacing w:line="240" w:lineRule="exact"/>
              <w:jc w:val="center"/>
              <w:rPr>
                <w:rFonts w:ascii="仿宋_GB2312" w:eastAsia="仿宋_GB2312" w:hAnsi="仿宋_GB2312" w:cs="仿宋_GB2312"/>
                <w:kern w:val="0"/>
                <w:szCs w:val="21"/>
              </w:rPr>
            </w:pPr>
            <w:r w:rsidRPr="00C82EDE">
              <w:rPr>
                <w:rFonts w:ascii="仿宋_GB2312" w:eastAsia="仿宋_GB2312" w:hAnsi="仿宋_GB2312" w:cs="仿宋_GB2312" w:hint="eastAsia"/>
                <w:kern w:val="0"/>
                <w:szCs w:val="21"/>
              </w:rPr>
              <w:t>产出时效</w:t>
            </w:r>
          </w:p>
        </w:tc>
        <w:tc>
          <w:tcPr>
            <w:tcW w:w="2550" w:type="dxa"/>
            <w:vAlign w:val="center"/>
          </w:tcPr>
          <w:p w:rsidR="00FE0178" w:rsidRDefault="0025139C">
            <w:pPr>
              <w:widowControl/>
              <w:spacing w:line="240" w:lineRule="exact"/>
              <w:jc w:val="center"/>
              <w:rPr>
                <w:rFonts w:ascii="仿宋_GB2312" w:eastAsia="仿宋_GB2312" w:hAnsi="仿宋_GB2312" w:cs="仿宋_GB2312"/>
                <w:kern w:val="0"/>
                <w:szCs w:val="21"/>
                <w:highlight w:val="yellow"/>
              </w:rPr>
            </w:pPr>
            <w:r>
              <w:rPr>
                <w:rFonts w:ascii="仿宋_GB2312" w:eastAsia="仿宋_GB2312" w:hAnsi="仿宋_GB2312" w:cs="仿宋_GB2312" w:hint="eastAsia"/>
                <w:color w:val="000000"/>
                <w:kern w:val="0"/>
                <w:szCs w:val="21"/>
              </w:rPr>
              <w:t>公证检验数据信息处理及时性</w:t>
            </w:r>
          </w:p>
        </w:tc>
        <w:tc>
          <w:tcPr>
            <w:tcW w:w="1721"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5天</w:t>
            </w:r>
          </w:p>
        </w:tc>
        <w:tc>
          <w:tcPr>
            <w:tcW w:w="213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5天</w:t>
            </w:r>
          </w:p>
        </w:tc>
        <w:tc>
          <w:tcPr>
            <w:tcW w:w="86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12.5</w:t>
            </w:r>
          </w:p>
        </w:tc>
      </w:tr>
      <w:tr w:rsidR="00FE0178" w:rsidTr="00C82EDE">
        <w:trPr>
          <w:trHeight w:hRule="exact" w:val="363"/>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color w:val="000000"/>
                <w:kern w:val="0"/>
                <w:szCs w:val="21"/>
              </w:rPr>
            </w:pPr>
          </w:p>
        </w:tc>
        <w:tc>
          <w:tcPr>
            <w:tcW w:w="1530" w:type="dxa"/>
            <w:shd w:val="clear" w:color="auto" w:fill="auto"/>
            <w:vAlign w:val="center"/>
          </w:tcPr>
          <w:p w:rsidR="00FE0178" w:rsidRPr="00C82EDE" w:rsidRDefault="0025139C">
            <w:pPr>
              <w:widowControl/>
              <w:spacing w:line="240" w:lineRule="exact"/>
              <w:jc w:val="center"/>
              <w:rPr>
                <w:rFonts w:ascii="仿宋_GB2312" w:eastAsia="仿宋_GB2312" w:hAnsi="仿宋_GB2312" w:cs="仿宋_GB2312"/>
                <w:kern w:val="0"/>
                <w:szCs w:val="21"/>
              </w:rPr>
            </w:pPr>
            <w:r w:rsidRPr="00C82EDE">
              <w:rPr>
                <w:rFonts w:ascii="仿宋_GB2312" w:eastAsia="仿宋_GB2312" w:hAnsi="仿宋_GB2312" w:cs="仿宋_GB2312" w:hint="eastAsia"/>
                <w:kern w:val="0"/>
                <w:szCs w:val="21"/>
              </w:rPr>
              <w:t>产出成本</w:t>
            </w:r>
          </w:p>
        </w:tc>
        <w:tc>
          <w:tcPr>
            <w:tcW w:w="2550"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1721"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213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864" w:type="dxa"/>
            <w:vAlign w:val="center"/>
          </w:tcPr>
          <w:p w:rsidR="00FE0178" w:rsidRDefault="00FE0178">
            <w:pPr>
              <w:widowControl/>
              <w:spacing w:line="240" w:lineRule="exact"/>
              <w:jc w:val="center"/>
              <w:rPr>
                <w:rFonts w:ascii="仿宋_GB2312" w:eastAsia="仿宋_GB2312" w:hAnsi="仿宋_GB2312" w:cs="仿宋_GB2312"/>
                <w:kern w:val="0"/>
                <w:szCs w:val="21"/>
              </w:rPr>
            </w:pPr>
          </w:p>
        </w:tc>
      </w:tr>
      <w:tr w:rsidR="00FE0178">
        <w:trPr>
          <w:trHeight w:hRule="exact" w:val="363"/>
          <w:jc w:val="center"/>
        </w:trPr>
        <w:tc>
          <w:tcPr>
            <w:tcW w:w="1074" w:type="dxa"/>
            <w:vMerge w:val="restart"/>
            <w:vAlign w:val="center"/>
          </w:tcPr>
          <w:p w:rsidR="00FE0178" w:rsidRDefault="0025139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效果指标</w:t>
            </w: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经济效应指标 </w:t>
            </w:r>
          </w:p>
        </w:tc>
        <w:tc>
          <w:tcPr>
            <w:tcW w:w="2550" w:type="dxa"/>
            <w:vAlign w:val="center"/>
          </w:tcPr>
          <w:p w:rsidR="00FE0178" w:rsidRDefault="00FE0178">
            <w:pPr>
              <w:widowControl/>
              <w:spacing w:line="240" w:lineRule="exact"/>
              <w:jc w:val="center"/>
              <w:rPr>
                <w:rFonts w:ascii="仿宋_GB2312" w:eastAsia="仿宋_GB2312" w:hAnsi="仿宋_GB2312" w:cs="仿宋_GB2312"/>
                <w:kern w:val="0"/>
                <w:szCs w:val="21"/>
              </w:rPr>
            </w:pPr>
          </w:p>
        </w:tc>
        <w:tc>
          <w:tcPr>
            <w:tcW w:w="1721" w:type="dxa"/>
            <w:vAlign w:val="center"/>
          </w:tcPr>
          <w:p w:rsidR="00FE0178" w:rsidRDefault="00FE0178">
            <w:pPr>
              <w:widowControl/>
              <w:spacing w:line="240" w:lineRule="exact"/>
              <w:jc w:val="center"/>
              <w:rPr>
                <w:rFonts w:ascii="仿宋_GB2312" w:eastAsia="仿宋_GB2312" w:hAnsi="仿宋_GB2312" w:cs="仿宋_GB2312"/>
                <w:kern w:val="0"/>
                <w:szCs w:val="21"/>
              </w:rPr>
            </w:pPr>
          </w:p>
        </w:tc>
        <w:tc>
          <w:tcPr>
            <w:tcW w:w="2134" w:type="dxa"/>
            <w:vAlign w:val="center"/>
          </w:tcPr>
          <w:p w:rsidR="00FE0178" w:rsidRDefault="00FE0178">
            <w:pPr>
              <w:widowControl/>
              <w:spacing w:line="240" w:lineRule="exact"/>
              <w:jc w:val="center"/>
              <w:rPr>
                <w:rFonts w:ascii="仿宋_GB2312" w:eastAsia="仿宋_GB2312" w:hAnsi="仿宋_GB2312" w:cs="仿宋_GB2312"/>
                <w:kern w:val="0"/>
                <w:szCs w:val="21"/>
              </w:rPr>
            </w:pPr>
          </w:p>
        </w:tc>
        <w:tc>
          <w:tcPr>
            <w:tcW w:w="864" w:type="dxa"/>
            <w:vAlign w:val="center"/>
          </w:tcPr>
          <w:p w:rsidR="00FE0178" w:rsidRDefault="00FE0178">
            <w:pPr>
              <w:widowControl/>
              <w:jc w:val="center"/>
              <w:textAlignment w:val="center"/>
              <w:rPr>
                <w:rFonts w:ascii="仿宋_GB2312" w:eastAsia="仿宋_GB2312" w:hAnsi="仿宋_GB2312" w:cs="仿宋_GB2312"/>
                <w:kern w:val="0"/>
                <w:szCs w:val="21"/>
              </w:rPr>
            </w:pPr>
          </w:p>
        </w:tc>
      </w:tr>
      <w:tr w:rsidR="00FE0178">
        <w:trPr>
          <w:trHeight w:val="567"/>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kern w:val="0"/>
                <w:szCs w:val="21"/>
              </w:rPr>
            </w:pP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社会效益指标</w:t>
            </w:r>
          </w:p>
        </w:tc>
        <w:tc>
          <w:tcPr>
            <w:tcW w:w="2550"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1721"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213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86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r>
      <w:tr w:rsidR="00FE0178">
        <w:trPr>
          <w:trHeight w:val="438"/>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b/>
                <w:kern w:val="0"/>
                <w:szCs w:val="21"/>
              </w:rPr>
            </w:pP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生态效应</w:t>
            </w:r>
          </w:p>
        </w:tc>
        <w:tc>
          <w:tcPr>
            <w:tcW w:w="2550"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1721"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213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86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r>
      <w:tr w:rsidR="00FE0178">
        <w:trPr>
          <w:trHeight w:val="453"/>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b/>
                <w:kern w:val="0"/>
                <w:szCs w:val="21"/>
              </w:rPr>
            </w:pP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可持续影响指标</w:t>
            </w:r>
          </w:p>
        </w:tc>
        <w:tc>
          <w:tcPr>
            <w:tcW w:w="2550"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1721"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213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c>
          <w:tcPr>
            <w:tcW w:w="864" w:type="dxa"/>
            <w:vAlign w:val="center"/>
          </w:tcPr>
          <w:p w:rsidR="00FE0178" w:rsidRDefault="00FE0178">
            <w:pPr>
              <w:widowControl/>
              <w:spacing w:line="240" w:lineRule="exact"/>
              <w:jc w:val="center"/>
              <w:rPr>
                <w:rFonts w:ascii="仿宋_GB2312" w:eastAsia="仿宋_GB2312" w:hAnsi="仿宋_GB2312" w:cs="仿宋_GB2312"/>
                <w:kern w:val="0"/>
                <w:szCs w:val="21"/>
                <w:highlight w:val="yellow"/>
              </w:rPr>
            </w:pPr>
          </w:p>
        </w:tc>
      </w:tr>
      <w:tr w:rsidR="00FE0178">
        <w:trPr>
          <w:trHeight w:val="539"/>
          <w:jc w:val="center"/>
        </w:trPr>
        <w:tc>
          <w:tcPr>
            <w:tcW w:w="1074" w:type="dxa"/>
            <w:vMerge/>
            <w:vAlign w:val="center"/>
          </w:tcPr>
          <w:p w:rsidR="00FE0178" w:rsidRDefault="00FE0178">
            <w:pPr>
              <w:widowControl/>
              <w:spacing w:line="300" w:lineRule="exact"/>
              <w:jc w:val="center"/>
              <w:rPr>
                <w:rFonts w:ascii="仿宋_GB2312" w:eastAsia="仿宋_GB2312" w:hAnsi="仿宋_GB2312" w:cs="仿宋_GB2312"/>
                <w:b/>
                <w:kern w:val="0"/>
                <w:szCs w:val="21"/>
              </w:rPr>
            </w:pPr>
          </w:p>
        </w:tc>
        <w:tc>
          <w:tcPr>
            <w:tcW w:w="153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服务对象满意度指标</w:t>
            </w:r>
          </w:p>
        </w:tc>
        <w:tc>
          <w:tcPr>
            <w:tcW w:w="2550"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服务对象满意度</w:t>
            </w:r>
          </w:p>
        </w:tc>
        <w:tc>
          <w:tcPr>
            <w:tcW w:w="1721"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c>
          <w:tcPr>
            <w:tcW w:w="2134" w:type="dxa"/>
            <w:vAlign w:val="center"/>
          </w:tcPr>
          <w:p w:rsidR="00FE0178" w:rsidRDefault="0025139C">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c>
          <w:tcPr>
            <w:tcW w:w="864" w:type="dxa"/>
            <w:vAlign w:val="center"/>
          </w:tcPr>
          <w:p w:rsidR="00FE0178" w:rsidRDefault="0025139C">
            <w:pPr>
              <w:widowControl/>
              <w:spacing w:line="240" w:lineRule="exact"/>
              <w:jc w:val="center"/>
              <w:rPr>
                <w:rFonts w:ascii="仿宋_GB2312" w:eastAsia="仿宋_GB2312" w:hAnsi="仿宋_GB2312" w:cs="仿宋_GB2312"/>
                <w:kern w:val="0"/>
                <w:szCs w:val="21"/>
                <w:highlight w:val="yellow"/>
              </w:rPr>
            </w:pPr>
            <w:r>
              <w:rPr>
                <w:rFonts w:ascii="仿宋_GB2312" w:eastAsia="仿宋_GB2312" w:hAnsi="仿宋_GB2312" w:cs="仿宋_GB2312" w:hint="eastAsia"/>
                <w:kern w:val="0"/>
                <w:szCs w:val="21"/>
              </w:rPr>
              <w:t>12.5</w:t>
            </w:r>
          </w:p>
        </w:tc>
      </w:tr>
      <w:tr w:rsidR="00FE0178">
        <w:trPr>
          <w:trHeight w:val="3529"/>
          <w:jc w:val="center"/>
        </w:trPr>
        <w:tc>
          <w:tcPr>
            <w:tcW w:w="9873" w:type="dxa"/>
            <w:gridSpan w:val="6"/>
            <w:vAlign w:val="center"/>
          </w:tcPr>
          <w:p w:rsidR="00FE0178" w:rsidRDefault="0025139C">
            <w:pPr>
              <w:widowControl/>
              <w:numPr>
                <w:ilvl w:val="0"/>
                <w:numId w:val="4"/>
              </w:numPr>
              <w:spacing w:line="300" w:lineRule="exact"/>
              <w:ind w:firstLineChars="200" w:firstLine="420"/>
              <w:rPr>
                <w:rFonts w:eastAsia="仿宋_GB2312"/>
                <w:kern w:val="0"/>
                <w:szCs w:val="21"/>
              </w:rPr>
            </w:pPr>
            <w:r>
              <w:rPr>
                <w:rFonts w:eastAsia="仿宋_GB2312" w:hint="eastAsia"/>
                <w:kern w:val="0"/>
                <w:szCs w:val="21"/>
              </w:rPr>
              <w:t>预算执行情况口径：预算数为调整后财政资金总额（包括上年结余结转），执行数为资金使用单位财政资金实际支出数；</w:t>
            </w:r>
          </w:p>
          <w:p w:rsidR="00FE0178" w:rsidRDefault="0025139C">
            <w:pPr>
              <w:widowControl/>
              <w:numPr>
                <w:ilvl w:val="0"/>
                <w:numId w:val="4"/>
              </w:numPr>
              <w:spacing w:line="300" w:lineRule="exact"/>
              <w:ind w:firstLineChars="200" w:firstLine="420"/>
              <w:rPr>
                <w:rFonts w:eastAsia="仿宋_GB2312"/>
                <w:kern w:val="0"/>
                <w:szCs w:val="21"/>
              </w:rPr>
            </w:pPr>
            <w:r>
              <w:rPr>
                <w:rFonts w:eastAsia="仿宋_GB2312" w:hint="eastAsia"/>
                <w:kern w:val="0"/>
                <w:szCs w:val="21"/>
              </w:rPr>
              <w:t>定量指标完成数汇总原则：绝对值直接累加计算，相对值按照资金额度加权平均计算。定量指标计分原则：正向指标（即目标值为</w:t>
            </w:r>
            <w:r>
              <w:rPr>
                <w:rFonts w:ascii="宋体" w:hAnsi="宋体" w:cs="宋体" w:hint="eastAsia"/>
                <w:kern w:val="0"/>
                <w:szCs w:val="21"/>
              </w:rPr>
              <w:t>≧</w:t>
            </w:r>
            <w:r>
              <w:rPr>
                <w:rFonts w:eastAsia="仿宋_GB2312" w:hint="eastAsia"/>
                <w:kern w:val="0"/>
                <w:szCs w:val="21"/>
              </w:rPr>
              <w:t>X</w:t>
            </w:r>
            <w:r>
              <w:rPr>
                <w:rFonts w:eastAsia="仿宋_GB2312" w:hint="eastAsia"/>
                <w:kern w:val="0"/>
                <w:szCs w:val="21"/>
              </w:rPr>
              <w:t>，得分</w:t>
            </w:r>
            <w:r>
              <w:rPr>
                <w:rFonts w:eastAsia="仿宋_GB2312" w:hint="eastAsia"/>
                <w:kern w:val="0"/>
                <w:szCs w:val="21"/>
              </w:rPr>
              <w:t>=</w:t>
            </w:r>
            <w:r>
              <w:rPr>
                <w:rFonts w:eastAsia="仿宋_GB2312" w:hint="eastAsia"/>
                <w:kern w:val="0"/>
                <w:szCs w:val="21"/>
              </w:rPr>
              <w:t>权重</w:t>
            </w:r>
            <w:r>
              <w:rPr>
                <w:rFonts w:eastAsia="仿宋_GB2312" w:hint="eastAsia"/>
                <w:kern w:val="0"/>
                <w:szCs w:val="21"/>
              </w:rPr>
              <w:t>*B/A</w:t>
            </w:r>
            <w:r>
              <w:rPr>
                <w:rFonts w:eastAsia="仿宋_GB2312" w:hint="eastAsia"/>
                <w:kern w:val="0"/>
                <w:szCs w:val="21"/>
              </w:rPr>
              <w:t>），反向指标（即目标值为</w:t>
            </w:r>
            <w:r>
              <w:rPr>
                <w:rFonts w:ascii="宋体" w:hAnsi="宋体" w:cs="宋体" w:hint="eastAsia"/>
                <w:kern w:val="0"/>
                <w:szCs w:val="21"/>
              </w:rPr>
              <w:t>≦</w:t>
            </w:r>
            <w:r>
              <w:rPr>
                <w:rFonts w:eastAsia="仿宋_GB2312" w:hint="eastAsia"/>
                <w:kern w:val="0"/>
                <w:szCs w:val="21"/>
              </w:rPr>
              <w:t>X</w:t>
            </w:r>
            <w:r>
              <w:rPr>
                <w:rFonts w:eastAsia="仿宋_GB2312" w:hint="eastAsia"/>
                <w:kern w:val="0"/>
                <w:szCs w:val="21"/>
              </w:rPr>
              <w:t>，得分</w:t>
            </w:r>
            <w:r>
              <w:rPr>
                <w:rFonts w:eastAsia="仿宋_GB2312" w:hint="eastAsia"/>
                <w:kern w:val="0"/>
                <w:szCs w:val="21"/>
              </w:rPr>
              <w:t>=</w:t>
            </w:r>
            <w:r>
              <w:rPr>
                <w:rFonts w:eastAsia="仿宋_GB2312" w:hint="eastAsia"/>
                <w:kern w:val="0"/>
                <w:szCs w:val="21"/>
              </w:rPr>
              <w:t>权重</w:t>
            </w:r>
            <w:r>
              <w:rPr>
                <w:rFonts w:eastAsia="仿宋_GB2312" w:hint="eastAsia"/>
                <w:kern w:val="0"/>
                <w:szCs w:val="21"/>
              </w:rPr>
              <w:t>*A/B</w:t>
            </w:r>
            <w:r>
              <w:rPr>
                <w:rFonts w:eastAsia="仿宋_GB2312" w:hint="eastAsia"/>
                <w:kern w:val="0"/>
                <w:szCs w:val="21"/>
              </w:rPr>
              <w:t>），得分不得突破权重总额。定量指标先汇总完成数，再计算得分。</w:t>
            </w:r>
          </w:p>
          <w:p w:rsidR="00FE0178" w:rsidRDefault="0025139C">
            <w:pPr>
              <w:widowControl/>
              <w:numPr>
                <w:ilvl w:val="0"/>
                <w:numId w:val="4"/>
              </w:numPr>
              <w:spacing w:line="300" w:lineRule="exact"/>
              <w:ind w:firstLineChars="200" w:firstLine="420"/>
              <w:rPr>
                <w:rFonts w:eastAsia="仿宋_GB2312"/>
                <w:kern w:val="0"/>
                <w:szCs w:val="21"/>
              </w:rPr>
            </w:pPr>
            <w:r>
              <w:rPr>
                <w:rFonts w:eastAsia="仿宋_GB2312" w:hint="eastAsia"/>
                <w:kern w:val="0"/>
                <w:szCs w:val="21"/>
              </w:rPr>
              <w:t>定性指标计分原则：达成预期指标、部分达成预期指标并具有一定效果，未达成预期指标且效果较差，分别按照该指标对应分值区间</w:t>
            </w:r>
            <w:r>
              <w:rPr>
                <w:rFonts w:eastAsia="仿宋_GB2312" w:hint="eastAsia"/>
                <w:kern w:val="0"/>
                <w:szCs w:val="21"/>
              </w:rPr>
              <w:t>100-80%</w:t>
            </w:r>
            <w:r>
              <w:rPr>
                <w:rFonts w:eastAsia="仿宋_GB2312" w:hint="eastAsia"/>
                <w:kern w:val="0"/>
                <w:szCs w:val="21"/>
              </w:rPr>
              <w:t>（含</w:t>
            </w:r>
            <w:r>
              <w:rPr>
                <w:rFonts w:eastAsia="仿宋_GB2312" w:hint="eastAsia"/>
                <w:kern w:val="0"/>
                <w:szCs w:val="21"/>
              </w:rPr>
              <w:t>80%</w:t>
            </w:r>
            <w:r>
              <w:rPr>
                <w:rFonts w:eastAsia="仿宋_GB2312" w:hint="eastAsia"/>
                <w:kern w:val="0"/>
                <w:szCs w:val="21"/>
              </w:rPr>
              <w:t>）、</w:t>
            </w:r>
            <w:r>
              <w:rPr>
                <w:rFonts w:eastAsia="仿宋_GB2312" w:hint="eastAsia"/>
                <w:kern w:val="0"/>
                <w:szCs w:val="21"/>
              </w:rPr>
              <w:t>80-50%</w:t>
            </w:r>
            <w:r>
              <w:rPr>
                <w:rFonts w:eastAsia="仿宋_GB2312" w:hint="eastAsia"/>
                <w:kern w:val="0"/>
                <w:szCs w:val="21"/>
              </w:rPr>
              <w:t>（含</w:t>
            </w:r>
            <w:r>
              <w:rPr>
                <w:rFonts w:eastAsia="仿宋_GB2312" w:hint="eastAsia"/>
                <w:kern w:val="0"/>
                <w:szCs w:val="21"/>
              </w:rPr>
              <w:t>50%</w:t>
            </w:r>
            <w:r>
              <w:rPr>
                <w:rFonts w:eastAsia="仿宋_GB2312" w:hint="eastAsia"/>
                <w:kern w:val="0"/>
                <w:szCs w:val="21"/>
              </w:rPr>
              <w:t>）、</w:t>
            </w:r>
            <w:r>
              <w:rPr>
                <w:rFonts w:eastAsia="仿宋_GB2312" w:hint="eastAsia"/>
                <w:kern w:val="0"/>
                <w:szCs w:val="21"/>
              </w:rPr>
              <w:t>50%-0</w:t>
            </w:r>
            <w:r>
              <w:rPr>
                <w:rFonts w:eastAsia="仿宋_GB2312" w:hint="eastAsia"/>
                <w:kern w:val="0"/>
                <w:szCs w:val="21"/>
              </w:rPr>
              <w:t>合理确定分值。汇总时，以资金额度为权重，对分值进行加权平均计算。</w:t>
            </w:r>
          </w:p>
          <w:p w:rsidR="00FE0178" w:rsidRDefault="0025139C">
            <w:pPr>
              <w:widowControl/>
              <w:numPr>
                <w:ilvl w:val="0"/>
                <w:numId w:val="4"/>
              </w:numPr>
              <w:spacing w:line="300" w:lineRule="exact"/>
              <w:ind w:firstLineChars="200" w:firstLine="420"/>
              <w:rPr>
                <w:rFonts w:ascii="仿宋_GB2312" w:eastAsia="仿宋_GB2312" w:hAnsi="仿宋_GB2312" w:cs="仿宋_GB2312"/>
                <w:kern w:val="0"/>
                <w:szCs w:val="21"/>
              </w:rPr>
            </w:pPr>
            <w:r>
              <w:rPr>
                <w:rFonts w:eastAsia="仿宋_GB2312" w:hint="eastAsia"/>
                <w:kern w:val="0"/>
                <w:szCs w:val="21"/>
              </w:rPr>
              <w:t>基于经济性和必要性等因素考虑，满意度指标暂可不作为必评指标。</w:t>
            </w:r>
          </w:p>
        </w:tc>
      </w:tr>
    </w:tbl>
    <w:p w:rsidR="00FE0178" w:rsidRDefault="00FE0178">
      <w:pPr>
        <w:pStyle w:val="BodyText"/>
        <w:rPr>
          <w:rFonts w:ascii="仿宋" w:eastAsia="仿宋" w:hAnsi="仿宋" w:cs="仿宋"/>
          <w:sz w:val="32"/>
          <w:szCs w:val="32"/>
        </w:rPr>
      </w:pPr>
    </w:p>
    <w:p w:rsidR="00FE0178" w:rsidRDefault="0025139C" w:rsidP="002E5EB7">
      <w:pPr>
        <w:numPr>
          <w:ilvl w:val="0"/>
          <w:numId w:val="3"/>
        </w:numPr>
        <w:ind w:firstLineChars="213" w:firstLine="682"/>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绩效评价结果应用情况</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一是进一步完善绩效指标申报工作，针对项目特点，合理设置便于操作执行的指标；二是加强基础数据收集统计工作，达到通过绩效考核促进单位绩效目标完成的目的。</w:t>
      </w:r>
    </w:p>
    <w:p w:rsidR="00FE0178" w:rsidRDefault="0025139C">
      <w:pPr>
        <w:ind w:firstLineChars="200" w:firstLine="640"/>
        <w:rPr>
          <w:rFonts w:ascii="黑体" w:eastAsia="黑体" w:hAnsi="黑体" w:cs="黑体"/>
          <w:bCs/>
          <w:sz w:val="32"/>
          <w:szCs w:val="32"/>
        </w:rPr>
      </w:pPr>
      <w:r>
        <w:rPr>
          <w:rFonts w:ascii="黑体" w:eastAsia="黑体" w:hAnsi="黑体" w:cs="黑体" w:hint="eastAsia"/>
          <w:bCs/>
          <w:sz w:val="32"/>
          <w:szCs w:val="32"/>
        </w:rPr>
        <w:t>十、名词解释</w:t>
      </w:r>
    </w:p>
    <w:p w:rsidR="00FE0178" w:rsidRDefault="0025139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（一）收入科目</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财政拨款收入：本年度从本级财政部门取得的财政拨款，包括一般公共预算财政拨款和政府性基金预算财政拨款。</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上级补助收入：指事业单位从主管部门和上级单位取得的非财政补助收入。</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事业收入：指事业单位开展专业业务活动及其辅助活动取得的收入。</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经营收入：指事业单位在专业业务活动及其辅助活动之外开展非独立核算经营活动取得的收入。</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其他收入：指取得的除上述收入以外的各项收入。</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用事业基金弥补收支差额：指用事业基金弥补当年收支差额的数额。</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年初结转和结余：指上年结转本年使用的基本支出结转、项目支出结转和结余和经营结余。</w:t>
      </w:r>
    </w:p>
    <w:p w:rsidR="00FE0178" w:rsidRDefault="0025139C" w:rsidP="002E5EB7">
      <w:pPr>
        <w:numPr>
          <w:ilvl w:val="0"/>
          <w:numId w:val="5"/>
        </w:numPr>
        <w:snapToGrid w:val="0"/>
        <w:spacing w:line="360" w:lineRule="auto"/>
        <w:ind w:firstLineChars="213" w:firstLine="682"/>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支出科目</w:t>
      </w:r>
    </w:p>
    <w:p w:rsidR="00FE0178" w:rsidRDefault="0025139C">
      <w:pPr>
        <w:snapToGrid w:val="0"/>
        <w:spacing w:line="360" w:lineRule="auto"/>
        <w:ind w:firstLineChars="213" w:firstLine="682"/>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1.一般公共服务支出（类）</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（1）市场监督管理事务（款）：反映市场监督管理事务方面（包括工商管理、质量技术监督、药品、医疗器械、化妆品）的支出。</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行政运行（项）：反映行政单位（包括实行公务员管理的事业单位）的基本支出。</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事业运行（项）：反映事业单位的基本支出，不包括行政单位（包括实行公务员管理的事业单位）后勤服务中心、医务室等附属事业单位。</w:t>
      </w:r>
    </w:p>
    <w:p w:rsidR="00FE0178" w:rsidRDefault="0025139C">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其他市场监督管理事务（项）：反映用于除上述项目以外其他市场监督管理事务方面的支出。</w:t>
      </w:r>
    </w:p>
    <w:p w:rsidR="00FE0178" w:rsidRDefault="0025139C">
      <w:pPr>
        <w:snapToGrid w:val="0"/>
        <w:spacing w:line="360" w:lineRule="auto"/>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2.社会保障和就业支出（类）</w:t>
      </w:r>
    </w:p>
    <w:p w:rsidR="00FE0178" w:rsidRDefault="0025139C" w:rsidP="00C82EDE">
      <w:pPr>
        <w:spacing w:line="360" w:lineRule="auto"/>
        <w:ind w:firstLineChars="200" w:firstLine="640"/>
        <w:jc w:val="left"/>
      </w:pPr>
      <w:r>
        <w:rPr>
          <w:rFonts w:ascii="仿宋" w:eastAsia="仿宋" w:hAnsi="仿宋" w:cs="仿宋" w:hint="eastAsia"/>
          <w:sz w:val="32"/>
          <w:szCs w:val="32"/>
        </w:rPr>
        <w:t>机关事业单位基本养老保险缴费支出（项）：反映机关事业单位实施养老保险制度由单位缴纳的基本养老保险费支出。</w:t>
      </w:r>
    </w:p>
    <w:sectPr w:rsidR="00FE0178" w:rsidSect="002E5EB7">
      <w:pgSz w:w="11906" w:h="16838" w:code="9"/>
      <w:pgMar w:top="1588" w:right="1134" w:bottom="1134" w:left="158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EAE" w:rsidRDefault="005F1EAE" w:rsidP="002E5EB7">
      <w:r>
        <w:separator/>
      </w:r>
    </w:p>
  </w:endnote>
  <w:endnote w:type="continuationSeparator" w:id="1">
    <w:p w:rsidR="005F1EAE" w:rsidRDefault="005F1EAE" w:rsidP="002E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EAE" w:rsidRDefault="005F1EAE" w:rsidP="002E5EB7">
      <w:r>
        <w:separator/>
      </w:r>
    </w:p>
  </w:footnote>
  <w:footnote w:type="continuationSeparator" w:id="1">
    <w:p w:rsidR="005F1EAE" w:rsidRDefault="005F1EAE" w:rsidP="002E5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B66BA1"/>
    <w:multiLevelType w:val="singleLevel"/>
    <w:tmpl w:val="AEB66BA1"/>
    <w:lvl w:ilvl="0">
      <w:start w:val="2"/>
      <w:numFmt w:val="chineseCounting"/>
      <w:suff w:val="nothing"/>
      <w:lvlText w:val="（%1）"/>
      <w:lvlJc w:val="left"/>
      <w:rPr>
        <w:rFonts w:hint="eastAsia"/>
      </w:rPr>
    </w:lvl>
  </w:abstractNum>
  <w:abstractNum w:abstractNumId="1">
    <w:nsid w:val="BFBB4212"/>
    <w:multiLevelType w:val="singleLevel"/>
    <w:tmpl w:val="BFBB4212"/>
    <w:lvl w:ilvl="0">
      <w:start w:val="2"/>
      <w:numFmt w:val="chineseCounting"/>
      <w:suff w:val="nothing"/>
      <w:lvlText w:val="（%1）"/>
      <w:lvlJc w:val="left"/>
      <w:rPr>
        <w:rFonts w:hint="eastAsia"/>
      </w:rPr>
    </w:lvl>
  </w:abstractNum>
  <w:abstractNum w:abstractNumId="2">
    <w:nsid w:val="F220E877"/>
    <w:multiLevelType w:val="singleLevel"/>
    <w:tmpl w:val="F220E877"/>
    <w:lvl w:ilvl="0">
      <w:start w:val="4"/>
      <w:numFmt w:val="chineseCounting"/>
      <w:suff w:val="nothing"/>
      <w:lvlText w:val="%1、"/>
      <w:lvlJc w:val="left"/>
      <w:rPr>
        <w:rFonts w:hint="eastAsia"/>
      </w:rPr>
    </w:lvl>
  </w:abstractNum>
  <w:abstractNum w:abstractNumId="3">
    <w:nsid w:val="21070CB4"/>
    <w:multiLevelType w:val="singleLevel"/>
    <w:tmpl w:val="21070CB4"/>
    <w:lvl w:ilvl="0">
      <w:start w:val="2"/>
      <w:numFmt w:val="chineseCounting"/>
      <w:suff w:val="nothing"/>
      <w:lvlText w:val="（%1）"/>
      <w:lvlJc w:val="left"/>
      <w:rPr>
        <w:rFonts w:hint="eastAsia"/>
      </w:rPr>
    </w:lvl>
  </w:abstractNum>
  <w:abstractNum w:abstractNumId="4">
    <w:nsid w:val="398C9A60"/>
    <w:multiLevelType w:val="singleLevel"/>
    <w:tmpl w:val="398C9A60"/>
    <w:lvl w:ilvl="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IzODA5ZmRlNGRkYzFiMDMyODY3YjFmMjljNDE5YTIifQ=="/>
  </w:docVars>
  <w:rsids>
    <w:rsidRoot w:val="358245EB"/>
    <w:rsid w:val="0009529C"/>
    <w:rsid w:val="000F0597"/>
    <w:rsid w:val="002144EA"/>
    <w:rsid w:val="0025139C"/>
    <w:rsid w:val="002E5EB7"/>
    <w:rsid w:val="003170F9"/>
    <w:rsid w:val="005F1EAE"/>
    <w:rsid w:val="00A32229"/>
    <w:rsid w:val="00C11D92"/>
    <w:rsid w:val="00C82EDE"/>
    <w:rsid w:val="00FE0178"/>
    <w:rsid w:val="064A73C7"/>
    <w:rsid w:val="16124C0C"/>
    <w:rsid w:val="1B0C184C"/>
    <w:rsid w:val="1B460D7A"/>
    <w:rsid w:val="2E35533B"/>
    <w:rsid w:val="32645BB2"/>
    <w:rsid w:val="358245EB"/>
    <w:rsid w:val="3742424F"/>
    <w:rsid w:val="3D4034FD"/>
    <w:rsid w:val="505A6264"/>
    <w:rsid w:val="621F358A"/>
    <w:rsid w:val="6D3A3FF2"/>
    <w:rsid w:val="71817A38"/>
    <w:rsid w:val="718675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FE017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FE0178"/>
    <w:pPr>
      <w:spacing w:after="120"/>
      <w:textAlignment w:val="baseline"/>
    </w:pPr>
  </w:style>
  <w:style w:type="paragraph" w:styleId="a3">
    <w:name w:val="Body Text Indent"/>
    <w:basedOn w:val="a"/>
    <w:uiPriority w:val="99"/>
    <w:qFormat/>
    <w:rsid w:val="00FE0178"/>
    <w:pPr>
      <w:spacing w:after="120"/>
      <w:ind w:leftChars="200" w:left="420"/>
    </w:pPr>
  </w:style>
  <w:style w:type="paragraph" w:styleId="2">
    <w:name w:val="Body Text First Indent 2"/>
    <w:basedOn w:val="a3"/>
    <w:uiPriority w:val="99"/>
    <w:qFormat/>
    <w:rsid w:val="00FE0178"/>
    <w:pPr>
      <w:ind w:firstLine="420"/>
    </w:pPr>
  </w:style>
  <w:style w:type="paragraph" w:styleId="a4">
    <w:name w:val="header"/>
    <w:basedOn w:val="a"/>
    <w:link w:val="Char"/>
    <w:rsid w:val="002E5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E5EB7"/>
    <w:rPr>
      <w:rFonts w:ascii="Times New Roman" w:eastAsia="宋体" w:hAnsi="Times New Roman" w:cs="Times New Roman"/>
      <w:kern w:val="2"/>
      <w:sz w:val="18"/>
      <w:szCs w:val="18"/>
    </w:rPr>
  </w:style>
  <w:style w:type="paragraph" w:styleId="a5">
    <w:name w:val="footer"/>
    <w:basedOn w:val="a"/>
    <w:link w:val="Char0"/>
    <w:rsid w:val="002E5EB7"/>
    <w:pPr>
      <w:tabs>
        <w:tab w:val="center" w:pos="4153"/>
        <w:tab w:val="right" w:pos="8306"/>
      </w:tabs>
      <w:snapToGrid w:val="0"/>
      <w:jc w:val="left"/>
    </w:pPr>
    <w:rPr>
      <w:sz w:val="18"/>
      <w:szCs w:val="18"/>
    </w:rPr>
  </w:style>
  <w:style w:type="character" w:customStyle="1" w:styleId="Char0">
    <w:name w:val="页脚 Char"/>
    <w:basedOn w:val="a0"/>
    <w:link w:val="a5"/>
    <w:rsid w:val="002E5EB7"/>
    <w:rPr>
      <w:rFonts w:ascii="Times New Roman" w:eastAsia="宋体" w:hAnsi="Times New Roman" w:cs="Times New Roman"/>
      <w:kern w:val="2"/>
      <w:sz w:val="18"/>
      <w:szCs w:val="18"/>
    </w:rPr>
  </w:style>
  <w:style w:type="paragraph" w:styleId="a6">
    <w:name w:val="List Paragraph"/>
    <w:basedOn w:val="a"/>
    <w:uiPriority w:val="99"/>
    <w:unhideWhenUsed/>
    <w:rsid w:val="000F059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微软用户</cp:lastModifiedBy>
  <cp:revision>6</cp:revision>
  <cp:lastPrinted>2021-09-08T03:07:00Z</cp:lastPrinted>
  <dcterms:created xsi:type="dcterms:W3CDTF">2021-09-08T03:03:00Z</dcterms:created>
  <dcterms:modified xsi:type="dcterms:W3CDTF">2022-09-01T15:49:00Z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04E225BDDB164A18B3F08CDBBA938E0B</vt:lpwstr>
  </property>
</Properties>
</file>